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10762"/>
      </w:tblGrid>
      <w:tr w:rsidR="00E25481" w:rsidTr="00E25481">
        <w:tc>
          <w:tcPr>
            <w:tcW w:w="10762" w:type="dxa"/>
            <w:hideMark/>
          </w:tcPr>
          <w:p w:rsidR="00E25481" w:rsidRDefault="003E7735">
            <w:pPr>
              <w:tabs>
                <w:tab w:val="left" w:pos="840"/>
              </w:tabs>
              <w:spacing w:line="360" w:lineRule="auto"/>
              <w:rPr>
                <w:rFonts w:ascii="Trebuchet MS" w:hAnsi="Trebuchet MS"/>
                <w:b/>
              </w:rPr>
            </w:pPr>
            <w:r>
              <w:rPr>
                <w:rFonts w:ascii="Arial Narrow" w:hAnsi="Arial Narrow" w:cs="Arial"/>
                <w:b/>
                <w:color w:val="752527"/>
                <w:sz w:val="44"/>
                <w:szCs w:val="4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5.5pt;height:53.4pt">
                  <v:imagedata r:id="rId8" o:title="LIVESTOCK factsheetBANNER"/>
                </v:shape>
              </w:pict>
            </w:r>
          </w:p>
        </w:tc>
      </w:tr>
      <w:tr w:rsidR="00E25481" w:rsidTr="00E25481">
        <w:tc>
          <w:tcPr>
            <w:tcW w:w="10762" w:type="dxa"/>
            <w:hideMark/>
          </w:tcPr>
          <w:p w:rsidR="00CA46AC" w:rsidRDefault="000E0768" w:rsidP="00CB45FE">
            <w:pPr>
              <w:spacing w:line="360" w:lineRule="auto"/>
              <w:jc w:val="both"/>
              <w:rPr>
                <w:rFonts w:ascii="Arial Narrow" w:hAnsi="Arial Narrow" w:cs="Arial"/>
                <w:b/>
                <w:color w:val="752527"/>
                <w:sz w:val="44"/>
                <w:szCs w:val="44"/>
              </w:rPr>
            </w:pPr>
            <w:r>
              <w:rPr>
                <w:rFonts w:ascii="Arial Narrow" w:hAnsi="Arial Narrow" w:cs="Arial"/>
                <w:b/>
                <w:color w:val="752527"/>
                <w:sz w:val="44"/>
                <w:szCs w:val="44"/>
              </w:rPr>
              <w:t xml:space="preserve">African </w:t>
            </w:r>
            <w:r w:rsidR="00CB45FE">
              <w:rPr>
                <w:rFonts w:ascii="Arial Narrow" w:hAnsi="Arial Narrow" w:cs="Arial"/>
                <w:b/>
                <w:color w:val="752527"/>
                <w:sz w:val="44"/>
                <w:szCs w:val="44"/>
              </w:rPr>
              <w:t>horse sickness (AHS)</w:t>
            </w:r>
          </w:p>
          <w:p w:rsidR="00A214B3" w:rsidRPr="00F618DB" w:rsidRDefault="00A214B3" w:rsidP="00A214B3">
            <w:pPr>
              <w:spacing w:line="312" w:lineRule="auto"/>
              <w:ind w:left="202"/>
              <w:rPr>
                <w:rFonts w:ascii="Times New Roman" w:hAnsi="Times New Roman"/>
                <w:sz w:val="18"/>
                <w:szCs w:val="18"/>
                <w:lang w:val="en-ZA" w:eastAsia="en-ZA"/>
              </w:rPr>
            </w:pPr>
            <w:r w:rsidRPr="00F618DB">
              <w:rPr>
                <w:b/>
                <w:sz w:val="18"/>
                <w:szCs w:val="18"/>
                <w:shd w:val="clear" w:color="auto" w:fill="FFFFFF"/>
                <w:lang w:eastAsia="en-ZA"/>
              </w:rPr>
              <w:t>Author</w:t>
            </w:r>
            <w:r w:rsidRPr="00F618DB">
              <w:rPr>
                <w:sz w:val="18"/>
                <w:szCs w:val="18"/>
                <w:shd w:val="clear" w:color="auto" w:fill="FFFFFF"/>
                <w:lang w:eastAsia="en-ZA"/>
              </w:rPr>
              <w:t xml:space="preserve">: Dr Melvyn </w:t>
            </w:r>
            <w:proofErr w:type="spellStart"/>
            <w:r w:rsidRPr="00F618DB">
              <w:rPr>
                <w:sz w:val="18"/>
                <w:szCs w:val="18"/>
                <w:shd w:val="clear" w:color="auto" w:fill="FFFFFF"/>
                <w:lang w:eastAsia="en-ZA"/>
              </w:rPr>
              <w:t>Quan</w:t>
            </w:r>
            <w:proofErr w:type="spellEnd"/>
          </w:p>
          <w:p w:rsidR="00A214B3" w:rsidRPr="00F618DB" w:rsidRDefault="00A214B3" w:rsidP="00A214B3">
            <w:pPr>
              <w:spacing w:line="312" w:lineRule="auto"/>
              <w:ind w:left="202"/>
              <w:rPr>
                <w:rFonts w:ascii="Times New Roman" w:hAnsi="Times New Roman"/>
                <w:sz w:val="18"/>
                <w:szCs w:val="18"/>
                <w:lang w:val="en-ZA" w:eastAsia="en-ZA"/>
              </w:rPr>
            </w:pPr>
            <w:r w:rsidRPr="00F618DB">
              <w:rPr>
                <w:b/>
                <w:bCs/>
                <w:sz w:val="18"/>
                <w:szCs w:val="18"/>
                <w:lang w:val="en-ZA" w:eastAsia="en-ZA"/>
              </w:rPr>
              <w:t xml:space="preserve">Adapted from: </w:t>
            </w:r>
            <w:proofErr w:type="spellStart"/>
            <w:r w:rsidRPr="00F618DB">
              <w:rPr>
                <w:sz w:val="18"/>
                <w:szCs w:val="18"/>
                <w:lang w:val="en-ZA" w:eastAsia="en-ZA"/>
              </w:rPr>
              <w:t>Coetzer</w:t>
            </w:r>
            <w:proofErr w:type="spellEnd"/>
            <w:r w:rsidRPr="00F618DB">
              <w:rPr>
                <w:sz w:val="18"/>
                <w:szCs w:val="18"/>
                <w:lang w:val="en-ZA" w:eastAsia="en-ZA"/>
              </w:rPr>
              <w:t>, J.A.W and Guthri</w:t>
            </w:r>
            <w:r>
              <w:rPr>
                <w:sz w:val="18"/>
                <w:szCs w:val="18"/>
                <w:lang w:val="en-ZA" w:eastAsia="en-ZA"/>
              </w:rPr>
              <w:t>e</w:t>
            </w:r>
            <w:r w:rsidRPr="00F618DB">
              <w:rPr>
                <w:sz w:val="18"/>
                <w:szCs w:val="18"/>
                <w:lang w:val="en-ZA" w:eastAsia="en-ZA"/>
              </w:rPr>
              <w:t>, A.J. 2004. African horse sickness, in</w:t>
            </w:r>
            <w:r w:rsidRPr="00F618DB">
              <w:rPr>
                <w:i/>
                <w:sz w:val="18"/>
                <w:szCs w:val="18"/>
                <w:lang w:val="en-ZA" w:eastAsia="en-ZA"/>
              </w:rPr>
              <w:t xml:space="preserve"> Infectious diseases of livestock</w:t>
            </w:r>
            <w:r w:rsidRPr="00F618DB">
              <w:rPr>
                <w:sz w:val="18"/>
                <w:szCs w:val="18"/>
                <w:lang w:val="en-ZA" w:eastAsia="en-ZA"/>
              </w:rPr>
              <w:t xml:space="preserve">, edited by J.A.W. </w:t>
            </w:r>
            <w:proofErr w:type="spellStart"/>
            <w:r w:rsidRPr="00F618DB">
              <w:rPr>
                <w:sz w:val="18"/>
                <w:szCs w:val="18"/>
                <w:lang w:val="en-ZA" w:eastAsia="en-ZA"/>
              </w:rPr>
              <w:t>Coetzer</w:t>
            </w:r>
            <w:proofErr w:type="spellEnd"/>
            <w:r w:rsidRPr="00F618DB">
              <w:rPr>
                <w:sz w:val="18"/>
                <w:szCs w:val="18"/>
                <w:lang w:val="en-ZA" w:eastAsia="en-ZA"/>
              </w:rPr>
              <w:t xml:space="preserve"> &amp; R.C. Tustin. Oxford University Press, Cape Town, 2: 1231-1264</w:t>
            </w:r>
          </w:p>
          <w:p w:rsidR="00A214B3" w:rsidRPr="00A214B3" w:rsidRDefault="00A214B3" w:rsidP="00A214B3">
            <w:pPr>
              <w:spacing w:line="312" w:lineRule="auto"/>
              <w:ind w:left="150"/>
              <w:rPr>
                <w:sz w:val="18"/>
                <w:szCs w:val="18"/>
              </w:rPr>
            </w:pPr>
            <w:r>
              <w:rPr>
                <w:sz w:val="18"/>
                <w:szCs w:val="18"/>
                <w:shd w:val="clear" w:color="auto" w:fill="FFFFFF"/>
              </w:rPr>
              <w:t>Licensed under a</w:t>
            </w:r>
            <w:r>
              <w:rPr>
                <w:rStyle w:val="apple-converted-space"/>
                <w:sz w:val="18"/>
                <w:szCs w:val="18"/>
                <w:shd w:val="clear" w:color="auto" w:fill="FFFFFF"/>
              </w:rPr>
              <w:t xml:space="preserve"> </w:t>
            </w:r>
            <w:hyperlink r:id="rId9" w:history="1">
              <w:r>
                <w:rPr>
                  <w:rStyle w:val="Hyperlink"/>
                  <w:sz w:val="18"/>
                  <w:szCs w:val="18"/>
                  <w:shd w:val="clear" w:color="auto" w:fill="FFFFFF"/>
                </w:rPr>
                <w:t>Creative Commons Attribution license</w:t>
              </w:r>
            </w:hyperlink>
            <w:r>
              <w:rPr>
                <w:sz w:val="18"/>
                <w:szCs w:val="18"/>
                <w:shd w:val="clear" w:color="auto" w:fill="FFFFFF"/>
              </w:rPr>
              <w:t>.</w:t>
            </w:r>
            <w:r>
              <w:rPr>
                <w:sz w:val="18"/>
                <w:szCs w:val="18"/>
              </w:rPr>
              <w:t xml:space="preserve"> </w:t>
            </w:r>
            <w:r w:rsidR="003E7735">
              <w:rPr>
                <w:noProof/>
                <w:sz w:val="18"/>
                <w:szCs w:val="18"/>
                <w:lang w:val="en-ZA" w:eastAsia="en-ZA"/>
              </w:rPr>
              <w:pict>
                <v:shape id="Picture 1" o:spid="_x0000_i1026" type="#_x0000_t75" alt="Description: Description: Creative Commons Attribution 3.0 Unported" style="width:60.4pt;height:11.05pt;visibility:visible;mso-wrap-style:square">
                  <v:imagedata r:id="rId10" o:title=" Creative Commons Attribution 3"/>
                </v:shape>
              </w:pict>
            </w:r>
          </w:p>
        </w:tc>
      </w:tr>
    </w:tbl>
    <w:p w:rsidR="00E25481" w:rsidRDefault="00E25481" w:rsidP="00C20B0E">
      <w:pPr>
        <w:tabs>
          <w:tab w:val="left" w:pos="840"/>
        </w:tabs>
        <w:spacing w:line="360" w:lineRule="auto"/>
        <w:rPr>
          <w:rFonts w:ascii="Trebuchet MS" w:hAnsi="Trebuchet MS"/>
          <w:b/>
        </w:rPr>
      </w:pPr>
    </w:p>
    <w:p w:rsidR="006A6D16" w:rsidRDefault="006A6D16" w:rsidP="00C20B0E">
      <w:pPr>
        <w:tabs>
          <w:tab w:val="left" w:pos="840"/>
        </w:tabs>
        <w:spacing w:line="360" w:lineRule="auto"/>
        <w:rPr>
          <w:rFonts w:ascii="Trebuchet MS" w:hAnsi="Trebuchet MS"/>
          <w:b/>
        </w:rPr>
        <w:sectPr w:rsidR="006A6D16" w:rsidSect="00672A72">
          <w:headerReference w:type="even" r:id="rId11"/>
          <w:headerReference w:type="default" r:id="rId12"/>
          <w:footerReference w:type="even" r:id="rId13"/>
          <w:footerReference w:type="default" r:id="rId14"/>
          <w:headerReference w:type="first" r:id="rId15"/>
          <w:footerReference w:type="first" r:id="rId16"/>
          <w:pgSz w:w="11906" w:h="16838" w:code="9"/>
          <w:pgMar w:top="851" w:right="680" w:bottom="1134" w:left="680" w:header="709" w:footer="709" w:gutter="0"/>
          <w:cols w:space="425"/>
          <w:docGrid w:linePitch="360"/>
        </w:sectPr>
      </w:pPr>
    </w:p>
    <w:p w:rsidR="000903CD" w:rsidRPr="00F85CFA" w:rsidRDefault="000903CD" w:rsidP="000903CD">
      <w:pPr>
        <w:spacing w:line="360" w:lineRule="auto"/>
        <w:jc w:val="both"/>
        <w:rPr>
          <w:rFonts w:cs="Arial"/>
          <w:b/>
          <w:sz w:val="20"/>
          <w:szCs w:val="20"/>
        </w:rPr>
      </w:pPr>
      <w:bookmarkStart w:id="1" w:name="OLE_LINK1"/>
      <w:bookmarkStart w:id="2" w:name="OLE_LINK2"/>
      <w:r w:rsidRPr="00F85CFA">
        <w:rPr>
          <w:rFonts w:cs="Arial"/>
          <w:b/>
          <w:sz w:val="20"/>
          <w:szCs w:val="20"/>
        </w:rPr>
        <w:lastRenderedPageBreak/>
        <w:t>Introduction</w:t>
      </w:r>
    </w:p>
    <w:p w:rsidR="00A214B3" w:rsidRDefault="00CB45FE" w:rsidP="00CB45FE">
      <w:pPr>
        <w:spacing w:line="360" w:lineRule="auto"/>
        <w:jc w:val="both"/>
        <w:rPr>
          <w:rFonts w:cs="Arial"/>
          <w:sz w:val="20"/>
          <w:szCs w:val="20"/>
        </w:rPr>
      </w:pPr>
      <w:r w:rsidRPr="00CB45FE">
        <w:rPr>
          <w:rFonts w:cs="Arial"/>
          <w:sz w:val="20"/>
          <w:szCs w:val="20"/>
        </w:rPr>
        <w:t xml:space="preserve">African horse sickness (AHS) is a </w:t>
      </w:r>
      <w:proofErr w:type="spellStart"/>
      <w:r w:rsidRPr="00CB45FE">
        <w:rPr>
          <w:rFonts w:cs="Arial"/>
          <w:sz w:val="20"/>
          <w:szCs w:val="20"/>
        </w:rPr>
        <w:t>peracute</w:t>
      </w:r>
      <w:proofErr w:type="spellEnd"/>
      <w:r w:rsidRPr="00CB45FE">
        <w:rPr>
          <w:rFonts w:cs="Arial"/>
          <w:sz w:val="20"/>
          <w:szCs w:val="20"/>
        </w:rPr>
        <w:t xml:space="preserve">, acute, </w:t>
      </w:r>
      <w:proofErr w:type="spellStart"/>
      <w:r w:rsidRPr="00CB45FE">
        <w:rPr>
          <w:rFonts w:cs="Arial"/>
          <w:sz w:val="20"/>
          <w:szCs w:val="20"/>
        </w:rPr>
        <w:t>subacute</w:t>
      </w:r>
      <w:proofErr w:type="spellEnd"/>
      <w:r w:rsidRPr="00CB45FE">
        <w:rPr>
          <w:rFonts w:cs="Arial"/>
          <w:sz w:val="20"/>
          <w:szCs w:val="20"/>
        </w:rPr>
        <w:t xml:space="preserve"> or mild infectious but non contagious disease of </w:t>
      </w:r>
      <w:proofErr w:type="spellStart"/>
      <w:r w:rsidRPr="00CB45FE">
        <w:rPr>
          <w:rFonts w:cs="Arial"/>
          <w:sz w:val="20"/>
          <w:szCs w:val="20"/>
        </w:rPr>
        <w:t>equids</w:t>
      </w:r>
      <w:proofErr w:type="spellEnd"/>
      <w:r w:rsidRPr="00CB45FE">
        <w:rPr>
          <w:rFonts w:cs="Arial"/>
          <w:sz w:val="20"/>
          <w:szCs w:val="20"/>
        </w:rPr>
        <w:t xml:space="preserve"> caused by African horse sickness virus (AHSV). The virus is classified in the genus </w:t>
      </w:r>
      <w:proofErr w:type="spellStart"/>
      <w:r w:rsidRPr="00CB45FE">
        <w:rPr>
          <w:rFonts w:cs="Arial"/>
          <w:i/>
          <w:sz w:val="20"/>
          <w:szCs w:val="20"/>
        </w:rPr>
        <w:t>Orbivirus</w:t>
      </w:r>
      <w:proofErr w:type="spellEnd"/>
      <w:r w:rsidRPr="00CB45FE">
        <w:rPr>
          <w:rFonts w:cs="Arial"/>
          <w:sz w:val="20"/>
          <w:szCs w:val="20"/>
        </w:rPr>
        <w:t xml:space="preserve"> of the family </w:t>
      </w:r>
      <w:proofErr w:type="spellStart"/>
      <w:r w:rsidRPr="00CB45FE">
        <w:rPr>
          <w:rFonts w:cs="Arial"/>
          <w:i/>
          <w:sz w:val="20"/>
          <w:szCs w:val="20"/>
        </w:rPr>
        <w:t>Reoviridae</w:t>
      </w:r>
      <w:proofErr w:type="spellEnd"/>
      <w:r w:rsidRPr="00CB45FE">
        <w:rPr>
          <w:rFonts w:cs="Arial"/>
          <w:sz w:val="20"/>
          <w:szCs w:val="20"/>
        </w:rPr>
        <w:t xml:space="preserve">, of which there are nine serotypes, all transmitted by </w:t>
      </w:r>
      <w:proofErr w:type="spellStart"/>
      <w:r w:rsidRPr="00CB45FE">
        <w:rPr>
          <w:rFonts w:cs="Arial"/>
          <w:i/>
          <w:sz w:val="20"/>
          <w:szCs w:val="20"/>
        </w:rPr>
        <w:t>Culicoides</w:t>
      </w:r>
      <w:proofErr w:type="spellEnd"/>
      <w:r w:rsidRPr="00CB45FE">
        <w:rPr>
          <w:rFonts w:cs="Arial"/>
          <w:sz w:val="20"/>
          <w:szCs w:val="20"/>
        </w:rPr>
        <w:t xml:space="preserve"> midges. AHS is a World Organization for Animal Health (OIE) - listed disease and manifests pyrexia and clinical signs compatible with impaired respiratory and circulatory functions, characterized by oedema of subcutaneous and </w:t>
      </w:r>
      <w:proofErr w:type="spellStart"/>
      <w:r w:rsidRPr="00CB45FE">
        <w:rPr>
          <w:rFonts w:cs="Arial"/>
          <w:sz w:val="20"/>
          <w:szCs w:val="20"/>
        </w:rPr>
        <w:t>intermuscular</w:t>
      </w:r>
      <w:proofErr w:type="spellEnd"/>
      <w:r w:rsidRPr="00CB45FE">
        <w:rPr>
          <w:rFonts w:cs="Arial"/>
          <w:sz w:val="20"/>
          <w:szCs w:val="20"/>
        </w:rPr>
        <w:t xml:space="preserve"> tissues and of the lungs, transudation into the body cavities and haemorrhages on </w:t>
      </w:r>
      <w:proofErr w:type="spellStart"/>
      <w:r w:rsidRPr="00CB45FE">
        <w:rPr>
          <w:rFonts w:cs="Arial"/>
          <w:sz w:val="20"/>
          <w:szCs w:val="20"/>
        </w:rPr>
        <w:t>serosal</w:t>
      </w:r>
      <w:proofErr w:type="spellEnd"/>
      <w:r w:rsidRPr="00CB45FE">
        <w:rPr>
          <w:rFonts w:cs="Arial"/>
          <w:sz w:val="20"/>
          <w:szCs w:val="20"/>
        </w:rPr>
        <w:t xml:space="preserve"> surfaces. </w:t>
      </w:r>
    </w:p>
    <w:p w:rsidR="00A214B3" w:rsidRDefault="00672A72" w:rsidP="00A214B3">
      <w:pPr>
        <w:spacing w:line="360" w:lineRule="auto"/>
        <w:jc w:val="center"/>
        <w:rPr>
          <w:rFonts w:cs="Arial"/>
          <w:sz w:val="20"/>
          <w:szCs w:val="20"/>
        </w:rPr>
      </w:pPr>
      <w:r>
        <w:rPr>
          <w:rFonts w:cs="Arial"/>
          <w:sz w:val="20"/>
          <w:szCs w:val="20"/>
        </w:rPr>
        <w:pict>
          <v:shape id="_x0000_i1027" type="#_x0000_t75" style="width:131.25pt;height:194.5pt">
            <v:imagedata r:id="rId17" o:title="AHS  -  006"/>
          </v:shape>
        </w:pict>
      </w:r>
    </w:p>
    <w:p w:rsidR="00A214B3" w:rsidRPr="00A214B3" w:rsidRDefault="00A214B3" w:rsidP="00A214B3">
      <w:pPr>
        <w:spacing w:line="360" w:lineRule="auto"/>
        <w:jc w:val="center"/>
        <w:rPr>
          <w:rFonts w:cs="Arial"/>
          <w:b/>
          <w:i/>
          <w:sz w:val="20"/>
          <w:szCs w:val="20"/>
        </w:rPr>
      </w:pPr>
      <w:r w:rsidRPr="00A214B3">
        <w:rPr>
          <w:rStyle w:val="Emphasis"/>
          <w:b w:val="0"/>
          <w:i/>
        </w:rPr>
        <w:t xml:space="preserve">Discharge of large quantities of frothy, </w:t>
      </w:r>
      <w:proofErr w:type="spellStart"/>
      <w:r w:rsidRPr="00A214B3">
        <w:rPr>
          <w:rStyle w:val="Emphasis"/>
          <w:b w:val="0"/>
          <w:i/>
        </w:rPr>
        <w:t>serofibrinous</w:t>
      </w:r>
      <w:proofErr w:type="spellEnd"/>
      <w:r w:rsidRPr="00A214B3">
        <w:rPr>
          <w:rStyle w:val="Emphasis"/>
          <w:b w:val="0"/>
          <w:i/>
        </w:rPr>
        <w:t xml:space="preserve"> fluid from the nostrils are seen in some horses with the pulmonary form of African horse sickness prior to death</w:t>
      </w:r>
    </w:p>
    <w:p w:rsidR="00A214B3" w:rsidRDefault="00A214B3" w:rsidP="00A214B3">
      <w:pPr>
        <w:spacing w:line="360" w:lineRule="auto"/>
        <w:jc w:val="center"/>
        <w:rPr>
          <w:rFonts w:cs="Arial"/>
          <w:sz w:val="20"/>
          <w:szCs w:val="20"/>
        </w:rPr>
      </w:pPr>
    </w:p>
    <w:p w:rsidR="000903CD" w:rsidRDefault="00CB45FE" w:rsidP="00CB45FE">
      <w:pPr>
        <w:spacing w:line="360" w:lineRule="auto"/>
        <w:jc w:val="both"/>
        <w:rPr>
          <w:rFonts w:cs="Arial"/>
          <w:sz w:val="20"/>
          <w:szCs w:val="20"/>
        </w:rPr>
      </w:pPr>
      <w:r w:rsidRPr="00CB45FE">
        <w:rPr>
          <w:rFonts w:cs="Arial"/>
          <w:sz w:val="20"/>
          <w:szCs w:val="20"/>
        </w:rPr>
        <w:t xml:space="preserve">The mortality rate in horses, the most susceptible species, may be as high as 95 per cent, while mules </w:t>
      </w:r>
      <w:r w:rsidRPr="00CB45FE">
        <w:rPr>
          <w:rFonts w:cs="Arial"/>
          <w:sz w:val="20"/>
          <w:szCs w:val="20"/>
        </w:rPr>
        <w:lastRenderedPageBreak/>
        <w:t xml:space="preserve">are less susceptible and donkeys with rare exceptions only develop </w:t>
      </w:r>
      <w:proofErr w:type="spellStart"/>
      <w:r w:rsidRPr="00CB45FE">
        <w:rPr>
          <w:rFonts w:cs="Arial"/>
          <w:sz w:val="20"/>
          <w:szCs w:val="20"/>
        </w:rPr>
        <w:t>inapparent</w:t>
      </w:r>
      <w:proofErr w:type="spellEnd"/>
      <w:r w:rsidRPr="00CB45FE">
        <w:rPr>
          <w:rFonts w:cs="Arial"/>
          <w:sz w:val="20"/>
          <w:szCs w:val="20"/>
        </w:rPr>
        <w:t xml:space="preserve"> infections.</w:t>
      </w:r>
    </w:p>
    <w:p w:rsidR="00A214B3" w:rsidRPr="00DB77DB" w:rsidRDefault="00A214B3" w:rsidP="00CB45FE">
      <w:pPr>
        <w:spacing w:line="360" w:lineRule="auto"/>
        <w:jc w:val="both"/>
        <w:rPr>
          <w:rFonts w:cs="Arial"/>
          <w:b/>
          <w:i/>
          <w:sz w:val="20"/>
          <w:szCs w:val="20"/>
        </w:rPr>
      </w:pPr>
    </w:p>
    <w:p w:rsidR="000903CD" w:rsidRPr="00F85CFA" w:rsidRDefault="000903CD" w:rsidP="000903CD">
      <w:pPr>
        <w:spacing w:line="360" w:lineRule="auto"/>
        <w:rPr>
          <w:rFonts w:cs="Arial"/>
          <w:b/>
          <w:sz w:val="20"/>
          <w:szCs w:val="20"/>
        </w:rPr>
      </w:pPr>
      <w:r w:rsidRPr="00F85CFA">
        <w:rPr>
          <w:rFonts w:cs="Arial"/>
          <w:b/>
          <w:sz w:val="20"/>
          <w:szCs w:val="20"/>
        </w:rPr>
        <w:t>Salient features of ASF</w:t>
      </w:r>
    </w:p>
    <w:p w:rsidR="00CB45FE" w:rsidRPr="00CB45FE" w:rsidRDefault="00CB45FE" w:rsidP="00CB45FE">
      <w:pPr>
        <w:spacing w:line="360" w:lineRule="auto"/>
        <w:jc w:val="both"/>
        <w:rPr>
          <w:rFonts w:cs="Arial"/>
          <w:sz w:val="20"/>
          <w:szCs w:val="20"/>
        </w:rPr>
      </w:pPr>
      <w:r w:rsidRPr="00CB45FE">
        <w:rPr>
          <w:rFonts w:cs="Arial"/>
          <w:sz w:val="20"/>
          <w:szCs w:val="20"/>
        </w:rPr>
        <w:t xml:space="preserve">In southern Africa, the appearance of AHS is seasonal, sometimes starting during December, but usually in January and peaks in March or April. Following the first frosts, the disease disappears abruptly until the next summer. In frost-free areas, such as the </w:t>
      </w:r>
      <w:proofErr w:type="spellStart"/>
      <w:r w:rsidRPr="00CB45FE">
        <w:rPr>
          <w:rFonts w:cs="Arial"/>
          <w:sz w:val="20"/>
          <w:szCs w:val="20"/>
        </w:rPr>
        <w:t>Lowveld</w:t>
      </w:r>
      <w:proofErr w:type="spellEnd"/>
      <w:r w:rsidRPr="00CB45FE">
        <w:rPr>
          <w:rFonts w:cs="Arial"/>
          <w:sz w:val="20"/>
          <w:szCs w:val="20"/>
        </w:rPr>
        <w:t>, the disease may occur throughout the year.</w:t>
      </w:r>
    </w:p>
    <w:p w:rsidR="00CB45FE" w:rsidRPr="00CB45FE" w:rsidRDefault="00CB45FE" w:rsidP="00CB45FE">
      <w:pPr>
        <w:spacing w:line="360" w:lineRule="auto"/>
        <w:jc w:val="both"/>
        <w:rPr>
          <w:rFonts w:cs="Arial"/>
          <w:sz w:val="20"/>
          <w:szCs w:val="20"/>
        </w:rPr>
      </w:pPr>
    </w:p>
    <w:p w:rsidR="00CB45FE" w:rsidRPr="00CB45FE" w:rsidRDefault="00CB45FE" w:rsidP="00CB45FE">
      <w:pPr>
        <w:spacing w:line="360" w:lineRule="auto"/>
        <w:jc w:val="both"/>
        <w:rPr>
          <w:rFonts w:cs="Arial"/>
          <w:sz w:val="20"/>
          <w:szCs w:val="20"/>
        </w:rPr>
      </w:pPr>
      <w:r w:rsidRPr="00CB45FE">
        <w:rPr>
          <w:rFonts w:cs="Arial"/>
          <w:sz w:val="20"/>
          <w:szCs w:val="20"/>
        </w:rPr>
        <w:t xml:space="preserve">Four forms of AHS occur in horses: the </w:t>
      </w:r>
      <w:proofErr w:type="spellStart"/>
      <w:r w:rsidRPr="00CB45FE">
        <w:rPr>
          <w:rFonts w:cs="Arial"/>
          <w:sz w:val="20"/>
          <w:szCs w:val="20"/>
        </w:rPr>
        <w:t>peracute</w:t>
      </w:r>
      <w:proofErr w:type="spellEnd"/>
      <w:r w:rsidRPr="00CB45FE">
        <w:rPr>
          <w:rFonts w:cs="Arial"/>
          <w:sz w:val="20"/>
          <w:szCs w:val="20"/>
        </w:rPr>
        <w:t>, “pulmonary” or “</w:t>
      </w:r>
      <w:proofErr w:type="spellStart"/>
      <w:r w:rsidRPr="00CB45FE">
        <w:rPr>
          <w:rFonts w:cs="Arial"/>
          <w:sz w:val="20"/>
          <w:szCs w:val="20"/>
        </w:rPr>
        <w:t>dunkop</w:t>
      </w:r>
      <w:proofErr w:type="spellEnd"/>
      <w:r w:rsidRPr="00CB45FE">
        <w:rPr>
          <w:rFonts w:cs="Arial"/>
          <w:sz w:val="20"/>
          <w:szCs w:val="20"/>
        </w:rPr>
        <w:t xml:space="preserve">” (“thin head”) form, i.e. cases in which subcutaneous swelling of the head is absent); the acute or “mixed” form; the </w:t>
      </w:r>
      <w:proofErr w:type="spellStart"/>
      <w:r w:rsidRPr="00CB45FE">
        <w:rPr>
          <w:rFonts w:cs="Arial"/>
          <w:sz w:val="20"/>
          <w:szCs w:val="20"/>
        </w:rPr>
        <w:t>subacute</w:t>
      </w:r>
      <w:proofErr w:type="spellEnd"/>
      <w:r w:rsidRPr="00CB45FE">
        <w:rPr>
          <w:rFonts w:cs="Arial"/>
          <w:sz w:val="20"/>
          <w:szCs w:val="20"/>
        </w:rPr>
        <w:t>, oedematous, “cardiac” or “</w:t>
      </w:r>
      <w:proofErr w:type="spellStart"/>
      <w:r w:rsidRPr="00CB45FE">
        <w:rPr>
          <w:rFonts w:cs="Arial"/>
          <w:sz w:val="20"/>
          <w:szCs w:val="20"/>
        </w:rPr>
        <w:t>dikkop</w:t>
      </w:r>
      <w:proofErr w:type="spellEnd"/>
      <w:r w:rsidRPr="00CB45FE">
        <w:rPr>
          <w:rFonts w:cs="Arial"/>
          <w:sz w:val="20"/>
          <w:szCs w:val="20"/>
        </w:rPr>
        <w:t>” (“thick” or “swollen head”) form and the horse sickness fever form.</w:t>
      </w:r>
    </w:p>
    <w:p w:rsidR="00A214B3" w:rsidRDefault="003E7735" w:rsidP="00A214B3">
      <w:pPr>
        <w:spacing w:line="360" w:lineRule="auto"/>
        <w:jc w:val="center"/>
        <w:rPr>
          <w:rFonts w:cs="Arial"/>
          <w:b/>
          <w:sz w:val="20"/>
          <w:szCs w:val="20"/>
        </w:rPr>
      </w:pPr>
      <w:r>
        <w:rPr>
          <w:rFonts w:cs="Arial"/>
          <w:b/>
          <w:sz w:val="20"/>
          <w:szCs w:val="20"/>
        </w:rPr>
        <w:pict>
          <v:shape id="_x0000_i1028" type="#_x0000_t75" style="width:225.85pt;height:146.9pt">
            <v:imagedata r:id="rId18" o:title="AHS  -  001"/>
          </v:shape>
        </w:pict>
      </w:r>
    </w:p>
    <w:p w:rsidR="00A214B3" w:rsidRDefault="00A214B3" w:rsidP="00A214B3">
      <w:pPr>
        <w:ind w:left="284" w:hanging="426"/>
        <w:jc w:val="center"/>
        <w:rPr>
          <w:rFonts w:cs="Arial"/>
          <w:b/>
          <w:sz w:val="20"/>
          <w:szCs w:val="20"/>
        </w:rPr>
      </w:pPr>
      <w:r w:rsidRPr="00A214B3">
        <w:rPr>
          <w:rStyle w:val="Emphasis"/>
          <w:b w:val="0"/>
          <w:i/>
        </w:rPr>
        <w:t>Facial swelling and oedema of the supraorbital fossae</w:t>
      </w:r>
    </w:p>
    <w:p w:rsidR="00CB45FE" w:rsidRDefault="00CB45FE" w:rsidP="00CB45FE">
      <w:pPr>
        <w:spacing w:line="360" w:lineRule="auto"/>
        <w:jc w:val="both"/>
        <w:rPr>
          <w:rFonts w:cs="Arial"/>
          <w:sz w:val="20"/>
          <w:szCs w:val="20"/>
        </w:rPr>
      </w:pPr>
    </w:p>
    <w:p w:rsidR="000903CD" w:rsidRPr="00DB77DB" w:rsidRDefault="00CB45FE" w:rsidP="00CB45FE">
      <w:pPr>
        <w:spacing w:line="360" w:lineRule="auto"/>
        <w:jc w:val="both"/>
        <w:rPr>
          <w:rFonts w:cs="Arial"/>
          <w:sz w:val="20"/>
          <w:szCs w:val="20"/>
        </w:rPr>
      </w:pPr>
      <w:r w:rsidRPr="00CB45FE">
        <w:rPr>
          <w:rFonts w:cs="Arial"/>
          <w:sz w:val="20"/>
          <w:szCs w:val="20"/>
        </w:rPr>
        <w:t xml:space="preserve">In addition to </w:t>
      </w:r>
      <w:proofErr w:type="spellStart"/>
      <w:r w:rsidRPr="00CB45FE">
        <w:rPr>
          <w:rFonts w:cs="Arial"/>
          <w:sz w:val="20"/>
          <w:szCs w:val="20"/>
        </w:rPr>
        <w:t>equids</w:t>
      </w:r>
      <w:proofErr w:type="spellEnd"/>
      <w:r w:rsidRPr="00CB45FE">
        <w:rPr>
          <w:rFonts w:cs="Arial"/>
          <w:sz w:val="20"/>
          <w:szCs w:val="20"/>
        </w:rPr>
        <w:t xml:space="preserve">, dogs are the only other species that contract a highly fatal form of the disease after infection with AHSV. All reported natural cases in dogs </w:t>
      </w:r>
      <w:r w:rsidRPr="00CB45FE">
        <w:rPr>
          <w:rFonts w:cs="Arial"/>
          <w:sz w:val="20"/>
          <w:szCs w:val="20"/>
        </w:rPr>
        <w:lastRenderedPageBreak/>
        <w:t>have resulted from the ingestion of infected horse meat, but experimentally they are also susceptible to infection by inoculation of virus by various routes.</w:t>
      </w:r>
    </w:p>
    <w:p w:rsidR="00A214B3" w:rsidRDefault="00A214B3" w:rsidP="000903CD">
      <w:pPr>
        <w:spacing w:line="360" w:lineRule="auto"/>
        <w:rPr>
          <w:rFonts w:cs="Arial"/>
          <w:b/>
          <w:sz w:val="20"/>
          <w:szCs w:val="20"/>
        </w:rPr>
      </w:pPr>
    </w:p>
    <w:p w:rsidR="000903CD" w:rsidRPr="00F85CFA" w:rsidRDefault="000903CD" w:rsidP="000903CD">
      <w:pPr>
        <w:spacing w:line="360" w:lineRule="auto"/>
        <w:rPr>
          <w:rFonts w:cs="Arial"/>
          <w:b/>
          <w:sz w:val="20"/>
          <w:szCs w:val="20"/>
        </w:rPr>
      </w:pPr>
      <w:r w:rsidRPr="00F85CFA">
        <w:rPr>
          <w:rFonts w:cs="Arial"/>
          <w:b/>
          <w:sz w:val="20"/>
          <w:szCs w:val="20"/>
        </w:rPr>
        <w:t>Where does ASF occur?</w:t>
      </w:r>
    </w:p>
    <w:p w:rsidR="000903CD" w:rsidRDefault="00CB45FE" w:rsidP="00FC0823">
      <w:pPr>
        <w:spacing w:line="360" w:lineRule="auto"/>
        <w:jc w:val="both"/>
        <w:rPr>
          <w:rFonts w:cs="Arial"/>
          <w:sz w:val="20"/>
          <w:szCs w:val="20"/>
        </w:rPr>
      </w:pPr>
      <w:r w:rsidRPr="00CB45FE">
        <w:rPr>
          <w:rFonts w:cs="Arial"/>
          <w:sz w:val="20"/>
          <w:szCs w:val="20"/>
        </w:rPr>
        <w:t>AHS is endemic to sub-Saharan Africa, with recent reports of outbreaks in southern Africa, Ethiopia Nigeria and Senegal. Occasional outbreaks have, in the past, been reported in northern Africa, the Iberian Peninsula and the Middle East.</w:t>
      </w:r>
    </w:p>
    <w:p w:rsidR="00CB45FE" w:rsidRPr="00DB77DB" w:rsidRDefault="00CB45FE" w:rsidP="000903CD">
      <w:pPr>
        <w:spacing w:line="360" w:lineRule="auto"/>
        <w:jc w:val="both"/>
        <w:rPr>
          <w:rFonts w:cs="Arial"/>
          <w:sz w:val="20"/>
          <w:szCs w:val="20"/>
        </w:rPr>
      </w:pPr>
    </w:p>
    <w:p w:rsidR="000903CD" w:rsidRPr="00F85CFA" w:rsidRDefault="000903CD" w:rsidP="000903CD">
      <w:pPr>
        <w:spacing w:line="360" w:lineRule="auto"/>
        <w:rPr>
          <w:rFonts w:cs="Arial"/>
          <w:b/>
          <w:sz w:val="20"/>
          <w:szCs w:val="20"/>
        </w:rPr>
      </w:pPr>
      <w:r w:rsidRPr="00F85CFA">
        <w:rPr>
          <w:rFonts w:cs="Arial"/>
          <w:b/>
          <w:sz w:val="20"/>
          <w:szCs w:val="20"/>
        </w:rPr>
        <w:t>What triggers an outbreak of ASF?</w:t>
      </w:r>
    </w:p>
    <w:p w:rsidR="000903CD" w:rsidRPr="00DB77DB" w:rsidRDefault="00FC0823" w:rsidP="00FC0823">
      <w:pPr>
        <w:spacing w:line="360" w:lineRule="auto"/>
        <w:jc w:val="both"/>
        <w:rPr>
          <w:rFonts w:cs="Arial"/>
          <w:sz w:val="20"/>
          <w:szCs w:val="20"/>
        </w:rPr>
      </w:pPr>
      <w:r w:rsidRPr="00FC0823">
        <w:rPr>
          <w:rFonts w:cs="Arial"/>
          <w:sz w:val="20"/>
          <w:szCs w:val="20"/>
        </w:rPr>
        <w:t xml:space="preserve">The virus is transmitted biologically by </w:t>
      </w:r>
      <w:proofErr w:type="spellStart"/>
      <w:r w:rsidRPr="00FC0823">
        <w:rPr>
          <w:rFonts w:cs="Arial"/>
          <w:i/>
          <w:sz w:val="20"/>
          <w:szCs w:val="20"/>
        </w:rPr>
        <w:t>Culicoides</w:t>
      </w:r>
      <w:proofErr w:type="spellEnd"/>
      <w:r w:rsidRPr="00FC0823">
        <w:rPr>
          <w:rFonts w:cs="Arial"/>
          <w:sz w:val="20"/>
          <w:szCs w:val="20"/>
        </w:rPr>
        <w:t xml:space="preserve"> spp., of which </w:t>
      </w:r>
      <w:r w:rsidRPr="00FC0823">
        <w:rPr>
          <w:rFonts w:cs="Arial"/>
          <w:i/>
          <w:sz w:val="20"/>
          <w:szCs w:val="20"/>
        </w:rPr>
        <w:t xml:space="preserve">C. </w:t>
      </w:r>
      <w:proofErr w:type="spellStart"/>
      <w:r w:rsidRPr="00FC0823">
        <w:rPr>
          <w:rFonts w:cs="Arial"/>
          <w:i/>
          <w:sz w:val="20"/>
          <w:szCs w:val="20"/>
        </w:rPr>
        <w:t>imicola</w:t>
      </w:r>
      <w:proofErr w:type="spellEnd"/>
      <w:r w:rsidRPr="00FC0823">
        <w:rPr>
          <w:rFonts w:cs="Arial"/>
          <w:sz w:val="20"/>
          <w:szCs w:val="20"/>
        </w:rPr>
        <w:t xml:space="preserve"> and </w:t>
      </w:r>
      <w:r w:rsidRPr="00FC0823">
        <w:rPr>
          <w:rFonts w:cs="Arial"/>
          <w:i/>
          <w:sz w:val="20"/>
          <w:szCs w:val="20"/>
        </w:rPr>
        <w:t xml:space="preserve">C. </w:t>
      </w:r>
      <w:proofErr w:type="spellStart"/>
      <w:r w:rsidRPr="00FC0823">
        <w:rPr>
          <w:rFonts w:cs="Arial"/>
          <w:i/>
          <w:sz w:val="20"/>
          <w:szCs w:val="20"/>
        </w:rPr>
        <w:t>bolitinos</w:t>
      </w:r>
      <w:proofErr w:type="spellEnd"/>
      <w:r w:rsidRPr="00FC0823">
        <w:rPr>
          <w:rFonts w:cs="Arial"/>
          <w:sz w:val="20"/>
          <w:szCs w:val="20"/>
        </w:rPr>
        <w:t xml:space="preserve"> have been shown to play an important role in Africa. AHS prevalence is therefore influenced by climatic and other conditions which favour the breeding of </w:t>
      </w:r>
      <w:proofErr w:type="spellStart"/>
      <w:r w:rsidRPr="00FC0823">
        <w:rPr>
          <w:rFonts w:cs="Arial"/>
          <w:i/>
          <w:sz w:val="20"/>
          <w:szCs w:val="20"/>
        </w:rPr>
        <w:t>Culicoides</w:t>
      </w:r>
      <w:proofErr w:type="spellEnd"/>
      <w:r w:rsidRPr="00FC0823">
        <w:rPr>
          <w:rFonts w:cs="Arial"/>
          <w:sz w:val="20"/>
          <w:szCs w:val="20"/>
        </w:rPr>
        <w:t xml:space="preserve"> spp. Early and heavy rains followed by warm, dry spells favour the occurrence of epidemics. In the open, most animals become infected during the period between sunset and sunrise when </w:t>
      </w:r>
      <w:proofErr w:type="spellStart"/>
      <w:r w:rsidRPr="00FC0823">
        <w:rPr>
          <w:rFonts w:cs="Arial"/>
          <w:i/>
          <w:sz w:val="20"/>
          <w:szCs w:val="20"/>
        </w:rPr>
        <w:t>Culicoides</w:t>
      </w:r>
      <w:proofErr w:type="spellEnd"/>
      <w:r w:rsidRPr="00FC0823">
        <w:rPr>
          <w:rFonts w:cs="Arial"/>
          <w:sz w:val="20"/>
          <w:szCs w:val="20"/>
        </w:rPr>
        <w:t xml:space="preserve"> midges are most active. </w:t>
      </w:r>
      <w:proofErr w:type="gramStart"/>
      <w:r w:rsidR="000903CD" w:rsidRPr="00DB77DB">
        <w:rPr>
          <w:rFonts w:cs="Arial"/>
          <w:sz w:val="20"/>
          <w:szCs w:val="20"/>
        </w:rPr>
        <w:t>between</w:t>
      </w:r>
      <w:proofErr w:type="gramEnd"/>
      <w:r w:rsidR="000903CD" w:rsidRPr="00DB77DB">
        <w:rPr>
          <w:rFonts w:cs="Arial"/>
          <w:sz w:val="20"/>
          <w:szCs w:val="20"/>
        </w:rPr>
        <w:t xml:space="preserve"> them and the pigs they feed on, with the ticks serving as long-term hosts of the virus. </w:t>
      </w:r>
    </w:p>
    <w:p w:rsidR="00A214B3" w:rsidRDefault="00A214B3" w:rsidP="00F85CFA">
      <w:pPr>
        <w:spacing w:line="360" w:lineRule="auto"/>
        <w:rPr>
          <w:rFonts w:cs="Arial"/>
          <w:b/>
          <w:sz w:val="20"/>
          <w:szCs w:val="20"/>
        </w:rPr>
      </w:pPr>
    </w:p>
    <w:p w:rsidR="000903CD" w:rsidRPr="00F85CFA" w:rsidRDefault="0014107A" w:rsidP="00F85CFA">
      <w:pPr>
        <w:spacing w:line="360" w:lineRule="auto"/>
        <w:rPr>
          <w:rFonts w:cs="Arial"/>
          <w:b/>
          <w:sz w:val="20"/>
          <w:szCs w:val="20"/>
        </w:rPr>
      </w:pPr>
      <w:r>
        <w:rPr>
          <w:rFonts w:cs="Arial"/>
          <w:b/>
          <w:sz w:val="20"/>
          <w:szCs w:val="20"/>
        </w:rPr>
        <w:t>Prevention and control</w:t>
      </w:r>
    </w:p>
    <w:p w:rsidR="00AA155C" w:rsidRPr="00AA155C" w:rsidRDefault="00AA155C" w:rsidP="00AA155C">
      <w:pPr>
        <w:spacing w:line="360" w:lineRule="auto"/>
        <w:jc w:val="both"/>
        <w:rPr>
          <w:rFonts w:cs="Arial"/>
          <w:sz w:val="20"/>
          <w:szCs w:val="20"/>
        </w:rPr>
      </w:pPr>
      <w:r w:rsidRPr="00AA155C">
        <w:rPr>
          <w:rFonts w:cs="Arial"/>
          <w:sz w:val="20"/>
          <w:szCs w:val="20"/>
        </w:rPr>
        <w:t xml:space="preserve">In endemic areas and in regions where AHS occurs almost every year, annual vaccination of horses is a very practical means of control. Although prophylactic immunization against AHS is a very efficient method of preventing serious losses, it cannot be relied upon fully to protect horses against infection or disease. However, the majority of horses that have received three or more courses of immunization are usually well protected against the disease. In southern Africa, annual immunization with a live polyvalent attenuated vaccine in late winter or early summer (September to November), which is some time before the peak AHS season, is advocated and allows immunized animals to respond adequately to the vaccine before challenge by natural exposure. A commercial polyvalent vaccine contains attenuated strains prepared in two </w:t>
      </w:r>
      <w:r w:rsidRPr="00AA155C">
        <w:rPr>
          <w:rFonts w:cs="Arial"/>
          <w:sz w:val="20"/>
          <w:szCs w:val="20"/>
        </w:rPr>
        <w:lastRenderedPageBreak/>
        <w:t xml:space="preserve">components, one of which is trivalent (serotypes 1, 3 and 4) and the other of which is </w:t>
      </w:r>
      <w:proofErr w:type="spellStart"/>
      <w:r w:rsidRPr="00AA155C">
        <w:rPr>
          <w:rFonts w:cs="Arial"/>
          <w:sz w:val="20"/>
          <w:szCs w:val="20"/>
        </w:rPr>
        <w:t>quadrivalent</w:t>
      </w:r>
      <w:proofErr w:type="spellEnd"/>
      <w:r w:rsidRPr="00AA155C">
        <w:rPr>
          <w:rFonts w:cs="Arial"/>
          <w:sz w:val="20"/>
          <w:szCs w:val="20"/>
        </w:rPr>
        <w:t xml:space="preserve"> (serotypes 2, 6, 7 and 8). A course of immunization consists of the administration of these component vaccines three weeks apart. Serotypes 5 and 9 are not included in the vaccines as serotypes 8 and 6, respectively, afford adequate cross protection.</w:t>
      </w:r>
    </w:p>
    <w:p w:rsidR="00B2743C" w:rsidRDefault="00B2743C" w:rsidP="00AA155C">
      <w:pPr>
        <w:spacing w:line="360" w:lineRule="auto"/>
        <w:jc w:val="both"/>
        <w:rPr>
          <w:rFonts w:cs="Arial"/>
          <w:sz w:val="20"/>
          <w:szCs w:val="20"/>
        </w:rPr>
      </w:pPr>
    </w:p>
    <w:p w:rsidR="000903CD" w:rsidRDefault="00AA155C" w:rsidP="00AA155C">
      <w:pPr>
        <w:spacing w:line="360" w:lineRule="auto"/>
        <w:jc w:val="both"/>
        <w:rPr>
          <w:rFonts w:cs="Arial"/>
          <w:sz w:val="20"/>
          <w:szCs w:val="20"/>
        </w:rPr>
      </w:pPr>
      <w:r w:rsidRPr="00AA155C">
        <w:rPr>
          <w:rFonts w:cs="Arial"/>
          <w:sz w:val="20"/>
          <w:szCs w:val="20"/>
        </w:rPr>
        <w:t xml:space="preserve">Infection of susceptible horses can be prevented to a large degree by stabling them some hours before sunset and letting them out a few hours after sunrise, as </w:t>
      </w:r>
      <w:proofErr w:type="spellStart"/>
      <w:r w:rsidRPr="00AA155C">
        <w:rPr>
          <w:rFonts w:cs="Arial"/>
          <w:i/>
          <w:sz w:val="20"/>
          <w:szCs w:val="20"/>
        </w:rPr>
        <w:t>Culicoides</w:t>
      </w:r>
      <w:proofErr w:type="spellEnd"/>
      <w:r w:rsidRPr="00AA155C">
        <w:rPr>
          <w:rFonts w:cs="Arial"/>
          <w:sz w:val="20"/>
          <w:szCs w:val="20"/>
        </w:rPr>
        <w:t xml:space="preserve"> spp. are nocturnal and are not inclined to enter buildings. The application of insect repellents and the use of insecticides on animals' coats will also discourage </w:t>
      </w:r>
      <w:proofErr w:type="spellStart"/>
      <w:r w:rsidRPr="00AA155C">
        <w:rPr>
          <w:rFonts w:cs="Arial"/>
          <w:i/>
          <w:sz w:val="20"/>
          <w:szCs w:val="20"/>
        </w:rPr>
        <w:t>Culicoides</w:t>
      </w:r>
      <w:proofErr w:type="spellEnd"/>
      <w:r w:rsidRPr="00AA155C">
        <w:rPr>
          <w:rFonts w:cs="Arial"/>
          <w:sz w:val="20"/>
          <w:szCs w:val="20"/>
        </w:rPr>
        <w:t xml:space="preserve"> from feeding on them.</w:t>
      </w:r>
    </w:p>
    <w:p w:rsidR="00A214B3" w:rsidRDefault="00A214B3" w:rsidP="000903CD">
      <w:pPr>
        <w:spacing w:line="360" w:lineRule="auto"/>
        <w:rPr>
          <w:rFonts w:cs="Arial"/>
          <w:b/>
          <w:sz w:val="20"/>
          <w:szCs w:val="20"/>
        </w:rPr>
      </w:pPr>
    </w:p>
    <w:p w:rsidR="000903CD" w:rsidRPr="00F85CFA" w:rsidRDefault="000903CD" w:rsidP="000903CD">
      <w:pPr>
        <w:spacing w:line="360" w:lineRule="auto"/>
        <w:rPr>
          <w:rFonts w:cs="Arial"/>
          <w:sz w:val="20"/>
          <w:szCs w:val="20"/>
        </w:rPr>
      </w:pPr>
      <w:r w:rsidRPr="00F85CFA">
        <w:rPr>
          <w:rFonts w:cs="Arial"/>
          <w:b/>
          <w:sz w:val="20"/>
          <w:szCs w:val="20"/>
        </w:rPr>
        <w:t>Find out more</w:t>
      </w:r>
    </w:p>
    <w:p w:rsidR="000903CD" w:rsidRDefault="003601F6" w:rsidP="000903CD">
      <w:pPr>
        <w:spacing w:line="360" w:lineRule="auto"/>
        <w:jc w:val="both"/>
        <w:rPr>
          <w:rFonts w:cs="Arial"/>
          <w:sz w:val="20"/>
          <w:szCs w:val="20"/>
        </w:rPr>
      </w:pPr>
      <w:r w:rsidRPr="003601F6">
        <w:rPr>
          <w:rFonts w:cs="Arial"/>
          <w:sz w:val="20"/>
          <w:szCs w:val="20"/>
        </w:rPr>
        <w:t xml:space="preserve">The CPD module on AHS provides an in-depth description of AHS, from the distribution of AHSV in Africa and historical outbreaks outside Africa, transmission of the virus by </w:t>
      </w:r>
      <w:proofErr w:type="spellStart"/>
      <w:r w:rsidRPr="003601F6">
        <w:rPr>
          <w:rFonts w:cs="Arial"/>
          <w:i/>
          <w:sz w:val="20"/>
          <w:szCs w:val="20"/>
        </w:rPr>
        <w:t>Culicoides</w:t>
      </w:r>
      <w:proofErr w:type="spellEnd"/>
      <w:r w:rsidRPr="003601F6">
        <w:rPr>
          <w:rFonts w:cs="Arial"/>
          <w:sz w:val="20"/>
          <w:szCs w:val="20"/>
        </w:rPr>
        <w:t xml:space="preserve"> midges, and factors affecting the seasonal peak in incidence of the disease, to how the virus causes such severe clinical signs in horses, the different clinical forms of AHS, other diseases that may be confused with AHS, the latest diagnostic tests, developments in new generation vaccines, measures to control an outbreak of AHS, and the latest trade issues.</w:t>
      </w:r>
    </w:p>
    <w:bookmarkEnd w:id="1"/>
    <w:bookmarkEnd w:id="2"/>
    <w:p w:rsidR="00B2743C" w:rsidRPr="00DB77DB" w:rsidRDefault="00B2743C" w:rsidP="000903CD">
      <w:pPr>
        <w:spacing w:line="360" w:lineRule="auto"/>
        <w:jc w:val="both"/>
        <w:rPr>
          <w:rFonts w:cs="Arial"/>
          <w:sz w:val="20"/>
          <w:szCs w:val="20"/>
        </w:rPr>
      </w:pPr>
    </w:p>
    <w:sectPr w:rsidR="00B2743C" w:rsidRPr="00DB77DB" w:rsidSect="00672A72">
      <w:type w:val="continuous"/>
      <w:pgSz w:w="11906" w:h="16838" w:code="9"/>
      <w:pgMar w:top="851" w:right="680" w:bottom="1418" w:left="680" w:header="709" w:footer="709"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7735" w:rsidRDefault="003E7735">
      <w:r>
        <w:separator/>
      </w:r>
    </w:p>
  </w:endnote>
  <w:endnote w:type="continuationSeparator" w:id="0">
    <w:p w:rsidR="003E7735" w:rsidRDefault="003E7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64C" w:rsidRDefault="00B1364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16E" w:rsidRPr="00C82B8A" w:rsidRDefault="00672A72" w:rsidP="0014516E">
    <w:pPr>
      <w:pStyle w:val="Footer"/>
      <w:jc w:val="center"/>
      <w:rPr>
        <w:sz w:val="18"/>
        <w:szCs w:val="18"/>
      </w:rPr>
    </w:pPr>
    <w:bookmarkStart w:id="0" w:name="_GoBack"/>
    <w:bookmarkEnd w:id="0"/>
    <w:r>
      <w:rPr>
        <w:b/>
        <w:noProof/>
        <w:sz w:val="18"/>
        <w:lang w:val="en-ZA" w:eastAsia="en-Z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i1029" type="#_x0000_t75" style="width:468pt;height:46.45pt;visibility:visible;mso-wrap-style:square">
          <v:imagedata r:id="rId1" o:titl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64C" w:rsidRDefault="00B136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7735" w:rsidRDefault="003E7735">
      <w:r>
        <w:separator/>
      </w:r>
    </w:p>
  </w:footnote>
  <w:footnote w:type="continuationSeparator" w:id="0">
    <w:p w:rsidR="003E7735" w:rsidRDefault="003E77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64C" w:rsidRDefault="00B1364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64C" w:rsidRDefault="00B1364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64C" w:rsidRDefault="00B1364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24ACB"/>
    <w:multiLevelType w:val="hybridMultilevel"/>
    <w:tmpl w:val="0F046A84"/>
    <w:lvl w:ilvl="0" w:tplc="85441C86">
      <w:start w:val="1"/>
      <w:numFmt w:val="bullet"/>
      <w:lvlText w:val=""/>
      <w:lvlJc w:val="left"/>
      <w:pPr>
        <w:tabs>
          <w:tab w:val="num" w:pos="576"/>
        </w:tabs>
        <w:ind w:left="576" w:hanging="57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20B7394"/>
    <w:multiLevelType w:val="hybridMultilevel"/>
    <w:tmpl w:val="8A7A0432"/>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204661F2"/>
    <w:multiLevelType w:val="hybridMultilevel"/>
    <w:tmpl w:val="989E8E60"/>
    <w:lvl w:ilvl="0" w:tplc="0413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C905B5F"/>
    <w:multiLevelType w:val="hybridMultilevel"/>
    <w:tmpl w:val="19E85E42"/>
    <w:lvl w:ilvl="0" w:tplc="85441C86">
      <w:start w:val="1"/>
      <w:numFmt w:val="bullet"/>
      <w:lvlText w:val=""/>
      <w:lvlJc w:val="left"/>
      <w:pPr>
        <w:tabs>
          <w:tab w:val="num" w:pos="576"/>
        </w:tabs>
        <w:ind w:left="576" w:hanging="57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2BD36CB"/>
    <w:multiLevelType w:val="hybridMultilevel"/>
    <w:tmpl w:val="7A50C064"/>
    <w:lvl w:ilvl="0" w:tplc="85441C86">
      <w:start w:val="1"/>
      <w:numFmt w:val="bullet"/>
      <w:lvlText w:val=""/>
      <w:lvlJc w:val="left"/>
      <w:pPr>
        <w:tabs>
          <w:tab w:val="num" w:pos="576"/>
        </w:tabs>
        <w:ind w:left="576" w:hanging="57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032C"/>
    <w:rsid w:val="000563A2"/>
    <w:rsid w:val="00061AA3"/>
    <w:rsid w:val="0007029F"/>
    <w:rsid w:val="000903CD"/>
    <w:rsid w:val="000C0606"/>
    <w:rsid w:val="000C0CCD"/>
    <w:rsid w:val="000E0768"/>
    <w:rsid w:val="000E32D6"/>
    <w:rsid w:val="001071E9"/>
    <w:rsid w:val="00112CFD"/>
    <w:rsid w:val="0014107A"/>
    <w:rsid w:val="0014516E"/>
    <w:rsid w:val="00161038"/>
    <w:rsid w:val="00166B33"/>
    <w:rsid w:val="00177C01"/>
    <w:rsid w:val="00190E60"/>
    <w:rsid w:val="00196AA5"/>
    <w:rsid w:val="001B6848"/>
    <w:rsid w:val="001D1055"/>
    <w:rsid w:val="001D6B3D"/>
    <w:rsid w:val="001E34F4"/>
    <w:rsid w:val="0021241A"/>
    <w:rsid w:val="002231AD"/>
    <w:rsid w:val="00223AC1"/>
    <w:rsid w:val="00226A01"/>
    <w:rsid w:val="00240609"/>
    <w:rsid w:val="00242879"/>
    <w:rsid w:val="002550EC"/>
    <w:rsid w:val="002A27D1"/>
    <w:rsid w:val="002B2B2A"/>
    <w:rsid w:val="002C3887"/>
    <w:rsid w:val="002E1555"/>
    <w:rsid w:val="002F4C4B"/>
    <w:rsid w:val="003054F9"/>
    <w:rsid w:val="003215DD"/>
    <w:rsid w:val="003601F6"/>
    <w:rsid w:val="00362705"/>
    <w:rsid w:val="003977FB"/>
    <w:rsid w:val="003A4663"/>
    <w:rsid w:val="003E0BD6"/>
    <w:rsid w:val="003E7735"/>
    <w:rsid w:val="003F5A80"/>
    <w:rsid w:val="00400FEF"/>
    <w:rsid w:val="004166A8"/>
    <w:rsid w:val="004459A5"/>
    <w:rsid w:val="004657E2"/>
    <w:rsid w:val="00473545"/>
    <w:rsid w:val="00495B77"/>
    <w:rsid w:val="00511546"/>
    <w:rsid w:val="00511FF1"/>
    <w:rsid w:val="00533A5A"/>
    <w:rsid w:val="00550DE9"/>
    <w:rsid w:val="0055315D"/>
    <w:rsid w:val="00562488"/>
    <w:rsid w:val="005704C3"/>
    <w:rsid w:val="00572CB9"/>
    <w:rsid w:val="005778B0"/>
    <w:rsid w:val="005928FF"/>
    <w:rsid w:val="005B533D"/>
    <w:rsid w:val="00611479"/>
    <w:rsid w:val="006278A2"/>
    <w:rsid w:val="00661F3C"/>
    <w:rsid w:val="00665253"/>
    <w:rsid w:val="00672A72"/>
    <w:rsid w:val="00686772"/>
    <w:rsid w:val="00694482"/>
    <w:rsid w:val="006A1F68"/>
    <w:rsid w:val="006A6D16"/>
    <w:rsid w:val="006C6AB2"/>
    <w:rsid w:val="00700ACB"/>
    <w:rsid w:val="007328FE"/>
    <w:rsid w:val="00742647"/>
    <w:rsid w:val="007A27B0"/>
    <w:rsid w:val="007B696B"/>
    <w:rsid w:val="007B6FF2"/>
    <w:rsid w:val="00824DB3"/>
    <w:rsid w:val="00833D99"/>
    <w:rsid w:val="0084312C"/>
    <w:rsid w:val="00843BEA"/>
    <w:rsid w:val="00863CA1"/>
    <w:rsid w:val="008668A9"/>
    <w:rsid w:val="00872DA4"/>
    <w:rsid w:val="00881907"/>
    <w:rsid w:val="0088234C"/>
    <w:rsid w:val="00887B28"/>
    <w:rsid w:val="00892D99"/>
    <w:rsid w:val="008D4504"/>
    <w:rsid w:val="008E1CAD"/>
    <w:rsid w:val="008E4D3C"/>
    <w:rsid w:val="00910A63"/>
    <w:rsid w:val="0091601D"/>
    <w:rsid w:val="00921BB3"/>
    <w:rsid w:val="0094032C"/>
    <w:rsid w:val="00942FF5"/>
    <w:rsid w:val="009439D0"/>
    <w:rsid w:val="009C11B2"/>
    <w:rsid w:val="009C3049"/>
    <w:rsid w:val="009E2DED"/>
    <w:rsid w:val="009E5061"/>
    <w:rsid w:val="009E68F0"/>
    <w:rsid w:val="009F3D03"/>
    <w:rsid w:val="00A16035"/>
    <w:rsid w:val="00A1609A"/>
    <w:rsid w:val="00A16C6D"/>
    <w:rsid w:val="00A214B3"/>
    <w:rsid w:val="00A51C03"/>
    <w:rsid w:val="00A62577"/>
    <w:rsid w:val="00A77734"/>
    <w:rsid w:val="00AA155C"/>
    <w:rsid w:val="00AB72D4"/>
    <w:rsid w:val="00AC4664"/>
    <w:rsid w:val="00AC7FD8"/>
    <w:rsid w:val="00AD2AFD"/>
    <w:rsid w:val="00AD61F2"/>
    <w:rsid w:val="00B0639C"/>
    <w:rsid w:val="00B1364C"/>
    <w:rsid w:val="00B2743C"/>
    <w:rsid w:val="00B27599"/>
    <w:rsid w:val="00B44BC0"/>
    <w:rsid w:val="00B45BD2"/>
    <w:rsid w:val="00B67D3E"/>
    <w:rsid w:val="00B81531"/>
    <w:rsid w:val="00B9200C"/>
    <w:rsid w:val="00BA314A"/>
    <w:rsid w:val="00BD4AA7"/>
    <w:rsid w:val="00C0227C"/>
    <w:rsid w:val="00C03BA5"/>
    <w:rsid w:val="00C179CB"/>
    <w:rsid w:val="00C20B0E"/>
    <w:rsid w:val="00C2201B"/>
    <w:rsid w:val="00C2742E"/>
    <w:rsid w:val="00C4599C"/>
    <w:rsid w:val="00C472D7"/>
    <w:rsid w:val="00C516A2"/>
    <w:rsid w:val="00C57698"/>
    <w:rsid w:val="00C578F8"/>
    <w:rsid w:val="00C82B8A"/>
    <w:rsid w:val="00CA2EE1"/>
    <w:rsid w:val="00CA46AC"/>
    <w:rsid w:val="00CB242F"/>
    <w:rsid w:val="00CB45FE"/>
    <w:rsid w:val="00CE0EFA"/>
    <w:rsid w:val="00D0047D"/>
    <w:rsid w:val="00D15D1C"/>
    <w:rsid w:val="00D1791F"/>
    <w:rsid w:val="00D47944"/>
    <w:rsid w:val="00D519FC"/>
    <w:rsid w:val="00D71ACD"/>
    <w:rsid w:val="00D875AE"/>
    <w:rsid w:val="00DD2BAF"/>
    <w:rsid w:val="00E12052"/>
    <w:rsid w:val="00E13741"/>
    <w:rsid w:val="00E25481"/>
    <w:rsid w:val="00E30643"/>
    <w:rsid w:val="00E55860"/>
    <w:rsid w:val="00E719BE"/>
    <w:rsid w:val="00E977B4"/>
    <w:rsid w:val="00EB28F2"/>
    <w:rsid w:val="00EC4CE6"/>
    <w:rsid w:val="00EF33B1"/>
    <w:rsid w:val="00F556EA"/>
    <w:rsid w:val="00F55ACB"/>
    <w:rsid w:val="00F562DA"/>
    <w:rsid w:val="00F7531F"/>
    <w:rsid w:val="00F85CFA"/>
    <w:rsid w:val="00FB778C"/>
    <w:rsid w:val="00FC082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B242F"/>
    <w:rPr>
      <w:rFonts w:ascii="Arial" w:hAnsi="Arial"/>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4516E"/>
    <w:pPr>
      <w:tabs>
        <w:tab w:val="center" w:pos="4320"/>
        <w:tab w:val="right" w:pos="8640"/>
      </w:tabs>
    </w:pPr>
  </w:style>
  <w:style w:type="paragraph" w:styleId="Footer">
    <w:name w:val="footer"/>
    <w:basedOn w:val="Normal"/>
    <w:rsid w:val="0014516E"/>
    <w:pPr>
      <w:tabs>
        <w:tab w:val="center" w:pos="4320"/>
        <w:tab w:val="right" w:pos="8640"/>
      </w:tabs>
    </w:pPr>
  </w:style>
  <w:style w:type="character" w:styleId="PageNumber">
    <w:name w:val="page number"/>
    <w:basedOn w:val="DefaultParagraphFont"/>
    <w:rsid w:val="00C82B8A"/>
  </w:style>
  <w:style w:type="character" w:styleId="Hyperlink">
    <w:name w:val="Hyperlink"/>
    <w:rsid w:val="00833D99"/>
    <w:rPr>
      <w:color w:val="0000FF"/>
      <w:u w:val="single"/>
    </w:rPr>
  </w:style>
  <w:style w:type="character" w:customStyle="1" w:styleId="apple-converted-space">
    <w:name w:val="apple-converted-space"/>
    <w:rsid w:val="00A214B3"/>
  </w:style>
  <w:style w:type="character" w:styleId="Emphasis">
    <w:name w:val="Emphasis"/>
    <w:uiPriority w:val="20"/>
    <w:qFormat/>
    <w:rsid w:val="00A214B3"/>
    <w:rPr>
      <w:b/>
      <w:bCs/>
      <w:sz w:val="18"/>
    </w:rPr>
  </w:style>
  <w:style w:type="character" w:styleId="Strong">
    <w:name w:val="Strong"/>
    <w:qFormat/>
    <w:rsid w:val="00A214B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ZA" w:eastAsia="en-Z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0621792">
      <w:bodyDiv w:val="1"/>
      <w:marLeft w:val="0"/>
      <w:marRight w:val="0"/>
      <w:marTop w:val="0"/>
      <w:marBottom w:val="0"/>
      <w:divBdr>
        <w:top w:val="none" w:sz="0" w:space="0" w:color="auto"/>
        <w:left w:val="none" w:sz="0" w:space="0" w:color="auto"/>
        <w:bottom w:val="none" w:sz="0" w:space="0" w:color="auto"/>
        <w:right w:val="none" w:sz="0" w:space="0" w:color="auto"/>
      </w:divBdr>
    </w:div>
    <w:div w:id="1441873737">
      <w:bodyDiv w:val="1"/>
      <w:marLeft w:val="0"/>
      <w:marRight w:val="0"/>
      <w:marTop w:val="0"/>
      <w:marBottom w:val="0"/>
      <w:divBdr>
        <w:top w:val="none" w:sz="0" w:space="0" w:color="auto"/>
        <w:left w:val="none" w:sz="0" w:space="0" w:color="auto"/>
        <w:bottom w:val="none" w:sz="0" w:space="0" w:color="auto"/>
        <w:right w:val="none" w:sz="0" w:space="0" w:color="auto"/>
      </w:divBdr>
      <w:divsChild>
        <w:div w:id="630750329">
          <w:marLeft w:val="0"/>
          <w:marRight w:val="0"/>
          <w:marTop w:val="0"/>
          <w:marBottom w:val="0"/>
          <w:divBdr>
            <w:top w:val="none" w:sz="0" w:space="0" w:color="auto"/>
            <w:left w:val="none" w:sz="0" w:space="0" w:color="auto"/>
            <w:bottom w:val="none" w:sz="0" w:space="0" w:color="auto"/>
            <w:right w:val="none" w:sz="0" w:space="0" w:color="auto"/>
          </w:divBdr>
          <w:divsChild>
            <w:div w:id="55839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720626">
      <w:bodyDiv w:val="1"/>
      <w:marLeft w:val="0"/>
      <w:marRight w:val="0"/>
      <w:marTop w:val="0"/>
      <w:marBottom w:val="0"/>
      <w:divBdr>
        <w:top w:val="none" w:sz="0" w:space="0" w:color="auto"/>
        <w:left w:val="none" w:sz="0" w:space="0" w:color="auto"/>
        <w:bottom w:val="none" w:sz="0" w:space="0" w:color="auto"/>
        <w:right w:val="none" w:sz="0" w:space="0" w:color="auto"/>
      </w:divBdr>
      <w:divsChild>
        <w:div w:id="1523011736">
          <w:marLeft w:val="0"/>
          <w:marRight w:val="0"/>
          <w:marTop w:val="0"/>
          <w:marBottom w:val="0"/>
          <w:divBdr>
            <w:top w:val="none" w:sz="0" w:space="0" w:color="auto"/>
            <w:left w:val="none" w:sz="0" w:space="0" w:color="auto"/>
            <w:bottom w:val="none" w:sz="0" w:space="0" w:color="auto"/>
            <w:right w:val="none" w:sz="0" w:space="0" w:color="auto"/>
          </w:divBdr>
          <w:divsChild>
            <w:div w:id="50000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image" Target="media/image5.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creativecommons.org/licenses/by/3.0/"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810</Words>
  <Characters>4617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African horse sickness</vt:lpstr>
    </vt:vector>
  </TitlesOfParts>
  <Company>University of Pretoria</Company>
  <LinksUpToDate>false</LinksUpToDate>
  <CharactersWithSpaces>5417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African horse sickness</dc:title>
  <dc:creator>UPUser</dc:creator>
  <cp:lastModifiedBy>user</cp:lastModifiedBy>
  <cp:revision>3</cp:revision>
  <cp:lastPrinted>2012-07-03T09:10:00Z</cp:lastPrinted>
  <dcterms:created xsi:type="dcterms:W3CDTF">2013-07-11T11:12:00Z</dcterms:created>
  <dcterms:modified xsi:type="dcterms:W3CDTF">2013-07-11T11:29:00Z</dcterms:modified>
</cp:coreProperties>
</file>