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E56" w:rsidRDefault="00306E56" w:rsidP="00B237F7">
      <w:pPr>
        <w:pStyle w:val="DiseaseTitle"/>
      </w:pPr>
      <w:bookmarkStart w:id="0" w:name="_Toc341125528"/>
      <w:r>
        <w:t>African Horse Sickness</w:t>
      </w:r>
    </w:p>
    <w:p w:rsidR="00A530C1" w:rsidRDefault="00A530C1" w:rsidP="00A530C1">
      <w:pPr>
        <w:spacing w:line="288" w:lineRule="auto"/>
        <w:ind w:left="202"/>
        <w:rPr>
          <w:rFonts w:ascii="Times New Roman" w:eastAsia="Times New Roman" w:hAnsi="Times New Roman"/>
          <w:sz w:val="18"/>
          <w:szCs w:val="18"/>
          <w:lang w:val="en-ZA" w:eastAsia="en-ZA"/>
        </w:rPr>
      </w:pPr>
      <w:r>
        <w:rPr>
          <w:rFonts w:eastAsia="Times New Roman"/>
          <w:b/>
          <w:sz w:val="18"/>
          <w:szCs w:val="18"/>
          <w:shd w:val="clear" w:color="auto" w:fill="FFFFFF"/>
          <w:lang w:eastAsia="en-ZA"/>
        </w:rPr>
        <w:t>Author</w:t>
      </w:r>
      <w:r>
        <w:rPr>
          <w:rFonts w:eastAsia="Times New Roman"/>
          <w:sz w:val="18"/>
          <w:szCs w:val="18"/>
          <w:shd w:val="clear" w:color="auto" w:fill="FFFFFF"/>
          <w:lang w:eastAsia="en-ZA"/>
        </w:rPr>
        <w:t>: Dr Melvyn Quan</w:t>
      </w:r>
    </w:p>
    <w:p w:rsidR="00A530C1" w:rsidRDefault="00A530C1" w:rsidP="00A530C1">
      <w:pPr>
        <w:spacing w:line="288" w:lineRule="auto"/>
        <w:ind w:left="202"/>
        <w:rPr>
          <w:rFonts w:ascii="Times New Roman" w:eastAsia="Times New Roman" w:hAnsi="Times New Roman"/>
          <w:sz w:val="18"/>
          <w:szCs w:val="18"/>
          <w:lang w:val="en-ZA" w:eastAsia="en-ZA"/>
        </w:rPr>
      </w:pPr>
      <w:r>
        <w:rPr>
          <w:rFonts w:eastAsia="Times New Roman"/>
          <w:b/>
          <w:bCs/>
          <w:sz w:val="18"/>
          <w:szCs w:val="18"/>
          <w:lang w:val="en-ZA" w:eastAsia="en-ZA"/>
        </w:rPr>
        <w:t xml:space="preserve">Adapted from: </w:t>
      </w:r>
      <w:r>
        <w:rPr>
          <w:rFonts w:eastAsia="Times New Roman"/>
          <w:sz w:val="18"/>
          <w:szCs w:val="18"/>
          <w:lang w:val="en-ZA" w:eastAsia="en-ZA"/>
        </w:rPr>
        <w:t>Coetzer, J.A.W and Guthri</w:t>
      </w:r>
      <w:r w:rsidR="008C28BF">
        <w:rPr>
          <w:rFonts w:eastAsia="Times New Roman"/>
          <w:sz w:val="18"/>
          <w:szCs w:val="18"/>
          <w:lang w:val="en-ZA" w:eastAsia="en-ZA"/>
        </w:rPr>
        <w:t>e</w:t>
      </w:r>
      <w:r>
        <w:rPr>
          <w:rFonts w:eastAsia="Times New Roman"/>
          <w:sz w:val="18"/>
          <w:szCs w:val="18"/>
          <w:lang w:val="en-ZA" w:eastAsia="en-ZA"/>
        </w:rPr>
        <w:t>, A.J. 2004. African horse sickness, in</w:t>
      </w:r>
      <w:r>
        <w:rPr>
          <w:rFonts w:eastAsia="Times New Roman"/>
          <w:i/>
          <w:sz w:val="18"/>
          <w:szCs w:val="18"/>
          <w:lang w:val="en-ZA" w:eastAsia="en-ZA"/>
        </w:rPr>
        <w:t xml:space="preserve"> Infectious diseases of livestock</w:t>
      </w:r>
      <w:r>
        <w:rPr>
          <w:rFonts w:eastAsia="Times New Roman"/>
          <w:sz w:val="18"/>
          <w:szCs w:val="18"/>
          <w:lang w:val="en-ZA" w:eastAsia="en-ZA"/>
        </w:rPr>
        <w:t>, edited by J.A.W. Coetzer &amp; R.C. Tustin. Oxford University Press, Cape Town, 2: 1231-1264</w:t>
      </w:r>
    </w:p>
    <w:p w:rsidR="00A530C1" w:rsidRDefault="00A530C1" w:rsidP="00A530C1">
      <w:pPr>
        <w:spacing w:line="288" w:lineRule="auto"/>
        <w:ind w:left="150"/>
        <w:rPr>
          <w:sz w:val="18"/>
          <w:szCs w:val="18"/>
        </w:rPr>
      </w:pPr>
      <w:r>
        <w:rPr>
          <w:sz w:val="18"/>
          <w:szCs w:val="18"/>
          <w:shd w:val="clear" w:color="auto" w:fill="FFFFFF"/>
        </w:rPr>
        <w:t xml:space="preserve"> 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r>
        <w:rPr>
          <w:sz w:val="18"/>
          <w:szCs w:val="18"/>
        </w:rPr>
        <w:t xml:space="preserve"> </w:t>
      </w:r>
      <w:r>
        <w:rPr>
          <w:noProof/>
          <w:sz w:val="18"/>
          <w:szCs w:val="18"/>
          <w:lang w:val="en-ZA" w:eastAsia="en-ZA"/>
        </w:rPr>
        <w:drawing>
          <wp:inline distT="0" distB="0" distL="0" distR="0">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B57158" w:rsidRPr="00B57158" w:rsidRDefault="00B57158" w:rsidP="00B57158">
      <w:pPr>
        <w:pStyle w:val="Heading1"/>
        <w:rPr>
          <w:rFonts w:eastAsia="Times New Roman"/>
          <w:lang w:val="en-ZA" w:eastAsia="en-ZA"/>
        </w:rPr>
      </w:pPr>
      <w:r w:rsidRPr="00B57158">
        <w:rPr>
          <w:rFonts w:eastAsia="Times New Roman"/>
          <w:lang w:val="en-ZA" w:eastAsia="en-ZA"/>
        </w:rPr>
        <w:t>FAQ</w:t>
      </w:r>
      <w:bookmarkEnd w:id="0"/>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Which samples should be submitted for AHS diagnosis?</w:t>
      </w:r>
    </w:p>
    <w:p w:rsidR="00B57158" w:rsidRPr="00B57158" w:rsidRDefault="00B57158" w:rsidP="003006D4">
      <w:pPr>
        <w:ind w:left="720"/>
        <w:rPr>
          <w:rFonts w:eastAsia="Times New Roman"/>
          <w:lang w:val="en-ZA" w:eastAsia="en-ZA"/>
        </w:rPr>
      </w:pPr>
      <w:r w:rsidRPr="00B57158">
        <w:rPr>
          <w:rFonts w:eastAsia="Times New Roman"/>
          <w:lang w:val="en-ZA" w:eastAsia="en-ZA"/>
        </w:rPr>
        <w:t xml:space="preserve">From a live animal, collect blood samples in a yellow (or red), purple and green-top tube (no additive, EDTA and heparin respectively). From a dead animal, collect heart blood or blood clots and/or 3x3x3 cm blocks of spleen and lung tissue in clean containers, for virus isolation. Collect two to three 1x1x1 cm blocks of heart (in particular a piece of the left ventricle through the papillary muscle, and the interventricular septum) spleen (any area) and lung (especially congested and oedematous areas) tissue in containers with 10% buffered formalin, for immunohistochemistry testing. If a post-mortem examination is not performed, collect jugular blood and spleen tissue through an incision in the abdominal wall. </w:t>
      </w:r>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What is a CT value and does a positive PCR assay confirm that my horse has AHS?</w:t>
      </w:r>
    </w:p>
    <w:p w:rsidR="00B57158" w:rsidRPr="00B57158" w:rsidRDefault="00B57158" w:rsidP="003006D4">
      <w:pPr>
        <w:ind w:left="720"/>
        <w:rPr>
          <w:rFonts w:eastAsia="Times New Roman"/>
          <w:lang w:val="en-ZA" w:eastAsia="en-ZA"/>
        </w:rPr>
      </w:pPr>
      <w:r w:rsidRPr="00B57158">
        <w:rPr>
          <w:rFonts w:eastAsia="Times New Roman"/>
          <w:lang w:val="en-ZA" w:eastAsia="en-ZA"/>
        </w:rPr>
        <w:t>The polymerase chain reaction (PCR) amplifies a target region of DNA in a sample (in this case AHSV nucleic material) by cycling the sample, to which reagents and enzymes have been added, through a range of temperatures. One cycle consists of raising the temperature of the sample to 95°C (to denature the DNA and separate the complementary strands of DNA), dropping the temperature to 55-60°C (to allow primers complementary to the target DNA sequence to attach), and then raising the temperature to 72°C (to allow the DNA polymerase to amplify the sequence). This sequence of temperature changes is repeated 35 to 40 times and with each cycle, the target DNA is doubled (assuming perfect efficiency). If one copy of the target DNA is present in the sample before PCR, after 40 PCR cycles, the target DNA will have been amplified to 1×1012 copies.</w:t>
      </w:r>
      <w:r w:rsidRPr="00B57158">
        <w:rPr>
          <w:rFonts w:eastAsia="Times New Roman"/>
          <w:lang w:val="en-ZA" w:eastAsia="en-ZA"/>
        </w:rPr>
        <w:br/>
        <w:t xml:space="preserve">Amplification of the target sequence is detected by measuring the fluorescence in a sample using a fluorescent DNA probe. The cycle number where the fluorescence in the sample reaches a threshold set by the user is called the “cycle threshold” (CT) (Figure 2). The higher the amount of target DNA (AHSV) in the sample before amplification by PCR, the lower the CT value. </w:t>
      </w:r>
      <w:r w:rsidRPr="00B57158">
        <w:rPr>
          <w:rFonts w:eastAsia="Times New Roman"/>
          <w:lang w:val="en-ZA" w:eastAsia="en-ZA"/>
        </w:rPr>
        <w:br/>
      </w:r>
      <w:r w:rsidRPr="00B57158">
        <w:rPr>
          <w:rFonts w:eastAsia="Times New Roman"/>
          <w:lang w:val="en-ZA" w:eastAsia="en-ZA"/>
        </w:rPr>
        <w:br/>
        <w:t xml:space="preserve">CT values of infected horses showing clinical signs of AHS are typically in the range of 20-30. If the CT value is high (&gt; 30), it indicates that either the horse has AHS, but the sample was taken </w:t>
      </w:r>
      <w:r w:rsidRPr="00B57158">
        <w:rPr>
          <w:rFonts w:eastAsia="Times New Roman"/>
          <w:lang w:val="en-ZA" w:eastAsia="en-ZA"/>
        </w:rPr>
        <w:lastRenderedPageBreak/>
        <w:t>either early or late in the course of the infection; the horse was recently vaccinated (the PCR does not distinguish vaccinated from infected animals); or a false positive result was obtained from the laboratory. A positive PCR result does not necessarily mean the horse has AHS.</w:t>
      </w:r>
      <w:r w:rsidRPr="00B57158">
        <w:rPr>
          <w:rFonts w:eastAsia="Times New Roman"/>
          <w:lang w:val="en-ZA" w:eastAsia="en-ZA"/>
        </w:rPr>
        <w:br/>
      </w:r>
      <w:r w:rsidRPr="00B57158">
        <w:rPr>
          <w:rFonts w:eastAsia="Times New Roman"/>
          <w:lang w:val="en-ZA" w:eastAsia="en-ZA"/>
        </w:rPr>
        <w:br/>
        <w:t xml:space="preserve">PCR results should always be evaluated together with clinical and epidemiological findings. The PCR detects AHSV nucleic material but does not confirm the infectivity of the virus. After a horse is infected with AHSV, infectious virus can be recovered for up to 21 days, but the horse will remain PCR-positive for up at three months. </w:t>
      </w:r>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My horse has been vaccinated every year with the AHS vaccine yet still got AHS.</w:t>
      </w:r>
    </w:p>
    <w:p w:rsidR="00B57158" w:rsidRPr="003006D4" w:rsidRDefault="00B57158" w:rsidP="00A65325">
      <w:pPr>
        <w:ind w:left="720"/>
        <w:rPr>
          <w:rFonts w:eastAsia="Times New Roman"/>
          <w:lang w:val="en-ZA" w:eastAsia="en-ZA"/>
        </w:rPr>
      </w:pPr>
      <w:r w:rsidRPr="003006D4">
        <w:rPr>
          <w:rFonts w:eastAsia="Times New Roman"/>
          <w:lang w:val="en-ZA" w:eastAsia="en-ZA"/>
        </w:rPr>
        <w:t xml:space="preserve">The multivalent, modified-live vaccine does not guarantee protection of horses against AHS. It will decrease the probability of a horse getting the disease and if a horse does get the disease, the clinical signs in some horses will be milder than if the horse was not vaccinated. In rare cases, horses vaccinated several times may still succumb to the disease. </w:t>
      </w:r>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Can my horse be worked after vaccination?</w:t>
      </w:r>
    </w:p>
    <w:p w:rsidR="00B57158" w:rsidRPr="003006D4" w:rsidRDefault="00B57158" w:rsidP="00A65325">
      <w:pPr>
        <w:ind w:left="720"/>
        <w:rPr>
          <w:rFonts w:eastAsia="Times New Roman"/>
          <w:lang w:val="en-ZA" w:eastAsia="en-ZA"/>
        </w:rPr>
      </w:pPr>
      <w:r w:rsidRPr="003006D4">
        <w:rPr>
          <w:rFonts w:eastAsia="Times New Roman"/>
          <w:lang w:val="en-ZA" w:eastAsia="en-ZA"/>
        </w:rPr>
        <w:t xml:space="preserve">Horses receiving their first vaccination should not be exercised, or only minimally, during the six week vaccination period, because it may place undue stress on the heart. Horses vaccinated previously can be worked normally during the vaccination period provided that no temperature reaction to the vaccine is seen. </w:t>
      </w:r>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Neighbours have moved zebras onto their properties and now my horses have AHS.</w:t>
      </w:r>
    </w:p>
    <w:p w:rsidR="00B57158" w:rsidRPr="003006D4" w:rsidRDefault="00B57158" w:rsidP="00A65325">
      <w:pPr>
        <w:ind w:left="720"/>
        <w:rPr>
          <w:rFonts w:eastAsia="Times New Roman"/>
          <w:lang w:val="en-ZA" w:eastAsia="en-ZA"/>
        </w:rPr>
      </w:pPr>
      <w:r w:rsidRPr="003006D4">
        <w:rPr>
          <w:rFonts w:eastAsia="Times New Roman"/>
          <w:lang w:val="en-ZA" w:eastAsia="en-ZA"/>
        </w:rPr>
        <w:t>Zebra are often implicated as the cause of outbreaks of AHS. The role they play in the epidemiology of AHS and in the spread of the virus needs clarification.</w:t>
      </w:r>
      <w:r w:rsidRPr="003006D4">
        <w:rPr>
          <w:rFonts w:eastAsia="Times New Roman"/>
          <w:lang w:val="en-ZA" w:eastAsia="en-ZA"/>
        </w:rPr>
        <w:br/>
      </w:r>
      <w:r w:rsidRPr="003006D4">
        <w:rPr>
          <w:rFonts w:eastAsia="Times New Roman"/>
          <w:lang w:val="en-ZA" w:eastAsia="en-ZA"/>
        </w:rPr>
        <w:br/>
        <w:t>The duration of viraemia in an infected zebra is longer than in horses. In an experimental study, low levels of infectious AHSV were isolated intermittently from a zebra for up to 40 days. In horses viraemia does not exceed 21 days. What is clear is that a carrier state in zebra has never been proven. Zebra may be infected with AHSV, but then develop antibodies to the virus and are therefore not infectious to midges once the infection is cleared from the circulation.</w:t>
      </w:r>
      <w:r w:rsidRPr="003006D4">
        <w:rPr>
          <w:rFonts w:eastAsia="Times New Roman"/>
          <w:lang w:val="en-ZA" w:eastAsia="en-ZA"/>
        </w:rPr>
        <w:br/>
      </w:r>
      <w:r w:rsidRPr="003006D4">
        <w:rPr>
          <w:rFonts w:eastAsia="Times New Roman"/>
          <w:lang w:val="en-ZA" w:eastAsia="en-ZA"/>
        </w:rPr>
        <w:br/>
        <w:t>As most zebra occur in areas where AHS is endemic, adults will have antibodies to most serotypes by 12 months of age. The only susceptible zebra are between 6 months (when maternally-derived immunity declines) and 12 months of age. On the other hand, horses are totally susceptible to AHS in the absence of vaccination and with vaccination it takes about three years before they are considered “fully protected”.</w:t>
      </w:r>
      <w:r w:rsidRPr="003006D4">
        <w:rPr>
          <w:rFonts w:eastAsia="Times New Roman"/>
          <w:lang w:val="en-ZA" w:eastAsia="en-ZA"/>
        </w:rPr>
        <w:br/>
      </w:r>
      <w:r w:rsidRPr="003006D4">
        <w:rPr>
          <w:rFonts w:eastAsia="Times New Roman"/>
          <w:lang w:val="en-ZA" w:eastAsia="en-ZA"/>
        </w:rPr>
        <w:br/>
        <w:t xml:space="preserve">Zebra are not important reservoirs of AHSV and do not play an important role in overwintering of the virus. In 1987, zebra imported into Spain caused an outbreak of AHS, yet the disease </w:t>
      </w:r>
      <w:r w:rsidRPr="003006D4">
        <w:rPr>
          <w:rFonts w:eastAsia="Times New Roman"/>
          <w:lang w:val="en-ZA" w:eastAsia="en-ZA"/>
        </w:rPr>
        <w:lastRenderedPageBreak/>
        <w:t xml:space="preserve">persisted for four years, in an area where no zebra existed. Other examples are AHS outbreaks in the Middle East in the 1960s and a recent outbreak of bluetongue virus, a related orbivirus, which overwintered in northern Europe. </w:t>
      </w:r>
      <w:r w:rsidRPr="003006D4">
        <w:rPr>
          <w:rFonts w:eastAsia="Times New Roman"/>
          <w:lang w:val="en-ZA" w:eastAsia="en-ZA"/>
        </w:rPr>
        <w:br/>
      </w:r>
      <w:r w:rsidRPr="003006D4">
        <w:rPr>
          <w:rFonts w:eastAsia="Times New Roman"/>
          <w:lang w:val="en-ZA" w:eastAsia="en-ZA"/>
        </w:rPr>
        <w:br/>
        <w:t xml:space="preserve">Although the period of viraemia in a zebra is longer than in a horse, due to the greater susceptibility of horses to AHS and the more frequent movement of horses around the country, horses probably play a far greater role in the spread and transmission of AHS than zebra do. Outbreak data show that AHS outbreaks start in areas of high horse density, such as Gauteng, the Natal Midlands and the Eastern Cape, in areas where zebras are not necessarily common. </w:t>
      </w:r>
    </w:p>
    <w:p w:rsidR="00B57158" w:rsidRPr="003006D4" w:rsidRDefault="00B57158" w:rsidP="00B57158">
      <w:pPr>
        <w:numPr>
          <w:ilvl w:val="0"/>
          <w:numId w:val="6"/>
        </w:numPr>
        <w:spacing w:line="360" w:lineRule="atLeast"/>
        <w:rPr>
          <w:rStyle w:val="numberedlist1"/>
          <w:b/>
          <w:lang w:val="en-ZA" w:eastAsia="en-ZA"/>
        </w:rPr>
      </w:pPr>
      <w:r w:rsidRPr="003006D4">
        <w:rPr>
          <w:rStyle w:val="numberedlist1"/>
          <w:b/>
          <w:lang w:val="en-ZA" w:eastAsia="en-ZA"/>
        </w:rPr>
        <w:t>A horse in the yard has AHS and I’m worried that it will infect the other horses</w:t>
      </w:r>
    </w:p>
    <w:p w:rsidR="00B57158" w:rsidRPr="003006D4" w:rsidRDefault="00B57158" w:rsidP="00A65325">
      <w:pPr>
        <w:ind w:left="720"/>
        <w:rPr>
          <w:rFonts w:eastAsia="Times New Roman"/>
          <w:lang w:val="en-ZA" w:eastAsia="en-ZA"/>
        </w:rPr>
      </w:pPr>
      <w:r w:rsidRPr="003006D4">
        <w:rPr>
          <w:rFonts w:eastAsia="Times New Roman"/>
          <w:lang w:val="en-ZA" w:eastAsia="en-ZA"/>
        </w:rPr>
        <w:t xml:space="preserve">AHS is not contagious. A horse can only get the disease from a bite from an infected midge. </w:t>
      </w:r>
    </w:p>
    <w:p w:rsidR="00B57158" w:rsidRPr="003006D4" w:rsidRDefault="00B57158" w:rsidP="00B57158">
      <w:pPr>
        <w:numPr>
          <w:ilvl w:val="0"/>
          <w:numId w:val="6"/>
        </w:numPr>
        <w:rPr>
          <w:rStyle w:val="numberedlist1"/>
          <w:b/>
          <w:lang w:val="en-ZA" w:eastAsia="en-ZA"/>
        </w:rPr>
      </w:pPr>
      <w:r w:rsidRPr="003006D4">
        <w:rPr>
          <w:rStyle w:val="numberedlist1"/>
          <w:b/>
          <w:lang w:val="en-ZA" w:eastAsia="en-ZA"/>
        </w:rPr>
        <w:t>I want to move my horse into the AHS controlled area – what do I need to do?</w:t>
      </w:r>
    </w:p>
    <w:p w:rsidR="00B57158" w:rsidRPr="00A65325" w:rsidRDefault="00B57158" w:rsidP="00B4734A">
      <w:pPr>
        <w:numPr>
          <w:ilvl w:val="0"/>
          <w:numId w:val="7"/>
        </w:numPr>
        <w:rPr>
          <w:rStyle w:val="numberedlist1"/>
          <w:lang w:val="en-ZA" w:eastAsia="en-ZA"/>
        </w:rPr>
      </w:pPr>
      <w:r w:rsidRPr="00A65325">
        <w:rPr>
          <w:rStyle w:val="numberedlist1"/>
          <w:lang w:val="en-ZA" w:eastAsia="en-ZA"/>
        </w:rPr>
        <w:t>All registered horses in the Republic of South Africa destined to enter the AHS Control Area must be vaccinated by a veterinarian or a specifically authorized animal health technician (AHT) in the employment of the provincial veterinary services under direct supervision of the state veterinarian concerned.</w:t>
      </w:r>
    </w:p>
    <w:p w:rsidR="00B57158" w:rsidRPr="00A65325" w:rsidRDefault="00B57158" w:rsidP="00B4734A">
      <w:pPr>
        <w:numPr>
          <w:ilvl w:val="0"/>
          <w:numId w:val="7"/>
        </w:numPr>
        <w:rPr>
          <w:rStyle w:val="numberedlist1"/>
          <w:lang w:val="en-ZA" w:eastAsia="en-ZA"/>
        </w:rPr>
      </w:pPr>
      <w:r w:rsidRPr="00A65325">
        <w:rPr>
          <w:rStyle w:val="numberedlist1"/>
          <w:lang w:val="en-ZA" w:eastAsia="en-ZA"/>
        </w:rPr>
        <w:t>Vaccination must be done annually with AHS I and AHS II vaccine.</w:t>
      </w:r>
    </w:p>
    <w:p w:rsidR="00B57158" w:rsidRPr="00A65325" w:rsidRDefault="00B57158" w:rsidP="00B4734A">
      <w:pPr>
        <w:numPr>
          <w:ilvl w:val="0"/>
          <w:numId w:val="7"/>
        </w:numPr>
        <w:rPr>
          <w:rStyle w:val="numberedlist1"/>
          <w:lang w:val="en-ZA" w:eastAsia="en-ZA"/>
        </w:rPr>
      </w:pPr>
      <w:r w:rsidRPr="00A65325">
        <w:rPr>
          <w:rStyle w:val="numberedlist1"/>
          <w:lang w:val="en-ZA" w:eastAsia="en-ZA"/>
        </w:rPr>
        <w:t>There must be a minimum of 3 weeks between I and II and the horse may not move into the AHS Control Area less than 60 days after the second vaccination.</w:t>
      </w:r>
    </w:p>
    <w:p w:rsidR="003006D4" w:rsidRPr="00EB78B7" w:rsidRDefault="00B57158" w:rsidP="00306E56">
      <w:pPr>
        <w:numPr>
          <w:ilvl w:val="0"/>
          <w:numId w:val="7"/>
        </w:numPr>
        <w:rPr>
          <w:rFonts w:eastAsia="Times New Roman"/>
          <w:sz w:val="22"/>
          <w:szCs w:val="22"/>
          <w:lang w:val="en-ZA" w:eastAsia="en-ZA"/>
        </w:rPr>
      </w:pPr>
      <w:r w:rsidRPr="00A65325">
        <w:rPr>
          <w:rStyle w:val="numberedlist1"/>
          <w:lang w:val="en-ZA" w:eastAsia="en-ZA"/>
        </w:rPr>
        <w:t>All horses must be registered and identified by means of a passport. If not a competing horse, then a certificate of identification, acceptable to the state veterinaria</w:t>
      </w:r>
      <w:r w:rsidR="00306E56">
        <w:rPr>
          <w:rStyle w:val="numberedlist1"/>
          <w:lang w:val="en-ZA" w:eastAsia="en-ZA"/>
        </w:rPr>
        <w:t>n (Boland magisterial district).</w:t>
      </w:r>
    </w:p>
    <w:sectPr w:rsidR="003006D4" w:rsidRPr="00EB78B7"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B6B" w:rsidRDefault="00CD0B6B" w:rsidP="00B142C0">
      <w:r>
        <w:separator/>
      </w:r>
    </w:p>
  </w:endnote>
  <w:endnote w:type="continuationSeparator" w:id="0">
    <w:p w:rsidR="00CD0B6B" w:rsidRDefault="00CD0B6B"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0A" w:rsidRDefault="00C66C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B9A" w:rsidRPr="00433068" w:rsidRDefault="00CD0B6B" w:rsidP="001E1B9A">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1E1B9A" w:rsidRPr="00433068">
          <w:fldChar w:fldCharType="begin"/>
        </w:r>
        <w:r w:rsidR="001E1B9A" w:rsidRPr="00433068">
          <w:instrText xml:space="preserve"> PAGE   \* MERGEFORMAT </w:instrText>
        </w:r>
        <w:r w:rsidR="001E1B9A" w:rsidRPr="00433068">
          <w:fldChar w:fldCharType="separate"/>
        </w:r>
        <w:r w:rsidR="00C66C0A" w:rsidRPr="00C66C0A">
          <w:rPr>
            <w:b/>
            <w:bCs/>
            <w:noProof/>
          </w:rPr>
          <w:t>1</w:t>
        </w:r>
        <w:r w:rsidR="001E1B9A" w:rsidRPr="00433068">
          <w:rPr>
            <w:b/>
            <w:bCs/>
            <w:noProof/>
          </w:rPr>
          <w:fldChar w:fldCharType="end"/>
        </w:r>
        <w:r w:rsidR="001E1B9A" w:rsidRPr="00433068">
          <w:rPr>
            <w:b/>
            <w:bCs/>
          </w:rPr>
          <w:t xml:space="preserve"> | </w:t>
        </w:r>
        <w:r w:rsidR="001E1B9A" w:rsidRPr="00433068">
          <w:rPr>
            <w:color w:val="808080" w:themeColor="background1" w:themeShade="80"/>
            <w:spacing w:val="60"/>
          </w:rPr>
          <w:t>Page</w:t>
        </w:r>
      </w:sdtContent>
    </w:sdt>
    <w:r w:rsidR="00C66C0A">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0A" w:rsidRDefault="00C66C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B6B" w:rsidRDefault="00CD0B6B" w:rsidP="00B142C0">
      <w:r>
        <w:separator/>
      </w:r>
    </w:p>
  </w:footnote>
  <w:footnote w:type="continuationSeparator" w:id="0">
    <w:p w:rsidR="00CD0B6B" w:rsidRDefault="00CD0B6B"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0A" w:rsidRDefault="00C66C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F7" w:rsidRDefault="00CD0B6B" w:rsidP="00B237F7">
    <w:pPr>
      <w:pStyle w:val="Header"/>
    </w:pPr>
    <w:hyperlink r:id="rId1" w:history="1">
      <w:r w:rsidR="00B237F7">
        <w:rPr>
          <w:rStyle w:val="Hyperlink"/>
          <w:color w:val="996633"/>
          <w:shd w:val="clear" w:color="auto" w:fill="FFFFFF"/>
        </w:rPr>
        <w:t>Livestock Health, Management and Production</w:t>
      </w:r>
      <w:r w:rsidR="00B237F7">
        <w:rPr>
          <w:rStyle w:val="apple-converted-space"/>
          <w:color w:val="996633"/>
          <w:u w:val="single"/>
          <w:shd w:val="clear" w:color="auto" w:fill="FFFFFF"/>
        </w:rPr>
        <w:t> </w:t>
      </w:r>
    </w:hyperlink>
    <w:r w:rsidR="00B237F7">
      <w:rPr>
        <w:color w:val="444444"/>
        <w:shd w:val="clear" w:color="auto" w:fill="FFFFFF"/>
      </w:rPr>
      <w:t>›</w:t>
    </w:r>
    <w:r w:rsidR="00B237F7">
      <w:rPr>
        <w:rStyle w:val="apple-converted-space"/>
        <w:color w:val="444444"/>
        <w:shd w:val="clear" w:color="auto" w:fill="FFFFFF"/>
      </w:rPr>
      <w:t> </w:t>
    </w:r>
    <w:hyperlink r:id="rId2" w:history="1">
      <w:r w:rsidR="00B237F7">
        <w:rPr>
          <w:rStyle w:val="Hyperlink"/>
          <w:color w:val="996633"/>
          <w:shd w:val="clear" w:color="auto" w:fill="FFFFFF"/>
        </w:rPr>
        <w:t>High Impact Diseases</w:t>
      </w:r>
    </w:hyperlink>
    <w:r w:rsidR="00B237F7">
      <w:rPr>
        <w:rStyle w:val="apple-converted-space"/>
        <w:color w:val="444444"/>
        <w:shd w:val="clear" w:color="auto" w:fill="FFFFFF"/>
      </w:rPr>
      <w:t> </w:t>
    </w:r>
    <w:r w:rsidR="00B237F7">
      <w:rPr>
        <w:color w:val="444444"/>
        <w:shd w:val="clear" w:color="auto" w:fill="FFFFFF"/>
      </w:rPr>
      <w:t>›</w:t>
    </w:r>
    <w:r w:rsidR="00B237F7">
      <w:rPr>
        <w:rStyle w:val="apple-converted-space"/>
        <w:color w:val="444444"/>
        <w:shd w:val="clear" w:color="auto" w:fill="FFFFFF"/>
      </w:rPr>
      <w:t> </w:t>
    </w:r>
    <w:hyperlink r:id="rId3" w:history="1">
      <w:r w:rsidR="00B237F7">
        <w:rPr>
          <w:rStyle w:val="Hyperlink"/>
          <w:color w:val="996633"/>
          <w:shd w:val="clear" w:color="auto" w:fill="FFFFFF"/>
        </w:rPr>
        <w:t>Vector-</w:t>
      </w:r>
      <w:r w:rsidR="00AF18E6">
        <w:rPr>
          <w:rStyle w:val="Hyperlink"/>
          <w:color w:val="996633"/>
          <w:shd w:val="clear" w:color="auto" w:fill="FFFFFF"/>
        </w:rPr>
        <w:t>b</w:t>
      </w:r>
      <w:r w:rsidR="00B237F7">
        <w:rPr>
          <w:rStyle w:val="Hyperlink"/>
          <w:color w:val="996633"/>
          <w:shd w:val="clear" w:color="auto" w:fill="FFFFFF"/>
        </w:rPr>
        <w:t>orne Diseases</w:t>
      </w:r>
    </w:hyperlink>
    <w:r w:rsidR="00B237F7">
      <w:rPr>
        <w:rStyle w:val="apple-converted-space"/>
        <w:color w:val="444444"/>
        <w:shd w:val="clear" w:color="auto" w:fill="FFFFFF"/>
      </w:rPr>
      <w:t> </w:t>
    </w:r>
    <w:r w:rsidR="00B237F7">
      <w:rPr>
        <w:color w:val="444444"/>
        <w:shd w:val="clear" w:color="auto" w:fill="FFFFFF"/>
      </w:rPr>
      <w:t xml:space="preserve">› </w:t>
    </w:r>
    <w:r w:rsidR="00AF18E6">
      <w:rPr>
        <w:color w:val="444444"/>
        <w:shd w:val="clear" w:color="auto" w:fill="FFFFFF"/>
      </w:rPr>
      <w:br/>
    </w:r>
    <w:r w:rsidR="00B237F7" w:rsidRPr="008E53ED">
      <w:rPr>
        <w:color w:val="444444"/>
        <w:shd w:val="clear" w:color="auto" w:fill="FFFFFF"/>
      </w:rPr>
      <w:t>African Horse Sickness</w:t>
    </w:r>
    <w:r w:rsidR="00B237F7">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0A" w:rsidRDefault="00C66C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A1B63"/>
    <w:rsid w:val="000A3328"/>
    <w:rsid w:val="000A4A5D"/>
    <w:rsid w:val="000B4677"/>
    <w:rsid w:val="00101844"/>
    <w:rsid w:val="001079B3"/>
    <w:rsid w:val="0015535A"/>
    <w:rsid w:val="00160E95"/>
    <w:rsid w:val="00192CF3"/>
    <w:rsid w:val="001A1C03"/>
    <w:rsid w:val="001E1B9A"/>
    <w:rsid w:val="00200282"/>
    <w:rsid w:val="00251343"/>
    <w:rsid w:val="00256953"/>
    <w:rsid w:val="00281613"/>
    <w:rsid w:val="002A78C2"/>
    <w:rsid w:val="002B631C"/>
    <w:rsid w:val="002D5ECC"/>
    <w:rsid w:val="002E4DAD"/>
    <w:rsid w:val="002F06E4"/>
    <w:rsid w:val="003006D4"/>
    <w:rsid w:val="00304BA6"/>
    <w:rsid w:val="00306E56"/>
    <w:rsid w:val="00325721"/>
    <w:rsid w:val="003404E0"/>
    <w:rsid w:val="003432A9"/>
    <w:rsid w:val="003E57E9"/>
    <w:rsid w:val="00490980"/>
    <w:rsid w:val="00500BE1"/>
    <w:rsid w:val="00547668"/>
    <w:rsid w:val="00582EFD"/>
    <w:rsid w:val="006130D8"/>
    <w:rsid w:val="00631C0D"/>
    <w:rsid w:val="00685AC3"/>
    <w:rsid w:val="006A5AB1"/>
    <w:rsid w:val="006D27E4"/>
    <w:rsid w:val="00704168"/>
    <w:rsid w:val="0074043E"/>
    <w:rsid w:val="007A75D4"/>
    <w:rsid w:val="00837D6A"/>
    <w:rsid w:val="00842E83"/>
    <w:rsid w:val="008468F9"/>
    <w:rsid w:val="0085340C"/>
    <w:rsid w:val="0088126D"/>
    <w:rsid w:val="00884808"/>
    <w:rsid w:val="00896E95"/>
    <w:rsid w:val="008A14F8"/>
    <w:rsid w:val="008C28BF"/>
    <w:rsid w:val="008C5D82"/>
    <w:rsid w:val="008D39B4"/>
    <w:rsid w:val="00907B55"/>
    <w:rsid w:val="00937BB1"/>
    <w:rsid w:val="0095337F"/>
    <w:rsid w:val="00956712"/>
    <w:rsid w:val="009726C5"/>
    <w:rsid w:val="00A42B98"/>
    <w:rsid w:val="00A530C1"/>
    <w:rsid w:val="00A572AE"/>
    <w:rsid w:val="00A6400F"/>
    <w:rsid w:val="00A65325"/>
    <w:rsid w:val="00A854B4"/>
    <w:rsid w:val="00AC4D58"/>
    <w:rsid w:val="00AF1840"/>
    <w:rsid w:val="00AF18E6"/>
    <w:rsid w:val="00B142C0"/>
    <w:rsid w:val="00B237F7"/>
    <w:rsid w:val="00B254CD"/>
    <w:rsid w:val="00B440E2"/>
    <w:rsid w:val="00B44C93"/>
    <w:rsid w:val="00B4734A"/>
    <w:rsid w:val="00B57158"/>
    <w:rsid w:val="00B57693"/>
    <w:rsid w:val="00B656B6"/>
    <w:rsid w:val="00B74DC2"/>
    <w:rsid w:val="00BF07A8"/>
    <w:rsid w:val="00C66C0A"/>
    <w:rsid w:val="00C812F8"/>
    <w:rsid w:val="00CA653A"/>
    <w:rsid w:val="00CD0B6B"/>
    <w:rsid w:val="00CF3903"/>
    <w:rsid w:val="00D1321D"/>
    <w:rsid w:val="00D87383"/>
    <w:rsid w:val="00DA39A4"/>
    <w:rsid w:val="00DA4F8A"/>
    <w:rsid w:val="00DB7427"/>
    <w:rsid w:val="00DC27C1"/>
    <w:rsid w:val="00DC495D"/>
    <w:rsid w:val="00DD3582"/>
    <w:rsid w:val="00E45E9B"/>
    <w:rsid w:val="00E70EB6"/>
    <w:rsid w:val="00E92A9C"/>
    <w:rsid w:val="00EB78B7"/>
    <w:rsid w:val="00EC6CE3"/>
    <w:rsid w:val="00EE4B60"/>
    <w:rsid w:val="00EF4CDE"/>
    <w:rsid w:val="00F647DC"/>
    <w:rsid w:val="00F8285B"/>
    <w:rsid w:val="00FA41A4"/>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C0A"/>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C66C0A"/>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C66C0A"/>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C66C0A"/>
    <w:pPr>
      <w:ind w:left="720"/>
      <w:outlineLvl w:val="2"/>
    </w:pPr>
    <w:rPr>
      <w:b/>
      <w:sz w:val="22"/>
      <w:szCs w:val="22"/>
    </w:rPr>
  </w:style>
  <w:style w:type="paragraph" w:styleId="Heading4">
    <w:name w:val="heading 4"/>
    <w:basedOn w:val="Normal"/>
    <w:next w:val="Normal"/>
    <w:link w:val="Heading4Char"/>
    <w:uiPriority w:val="9"/>
    <w:unhideWhenUsed/>
    <w:qFormat/>
    <w:rsid w:val="00C66C0A"/>
    <w:pPr>
      <w:ind w:left="720"/>
      <w:outlineLvl w:val="3"/>
    </w:pPr>
    <w:rPr>
      <w:b/>
      <w:i/>
    </w:rPr>
  </w:style>
  <w:style w:type="character" w:default="1" w:styleId="DefaultParagraphFont">
    <w:name w:val="Default Paragraph Font"/>
    <w:uiPriority w:val="1"/>
    <w:semiHidden/>
    <w:unhideWhenUsed/>
    <w:rsid w:val="00C66C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66C0A"/>
  </w:style>
  <w:style w:type="character" w:customStyle="1" w:styleId="Heading1Char">
    <w:name w:val="Heading 1 Char"/>
    <w:basedOn w:val="DefaultParagraphFont"/>
    <w:link w:val="Heading1"/>
    <w:uiPriority w:val="9"/>
    <w:rsid w:val="00C66C0A"/>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C66C0A"/>
    <w:rPr>
      <w:rFonts w:ascii="Arial" w:hAnsi="Arial"/>
      <w:color w:val="000066"/>
      <w:sz w:val="20"/>
      <w:u w:val="single"/>
    </w:rPr>
  </w:style>
  <w:style w:type="paragraph" w:styleId="NormalWeb">
    <w:name w:val="Normal (Web)"/>
    <w:basedOn w:val="Normal"/>
    <w:uiPriority w:val="99"/>
    <w:unhideWhenUsed/>
    <w:rsid w:val="00C66C0A"/>
  </w:style>
  <w:style w:type="character" w:styleId="Emphasis">
    <w:name w:val="Emphasis"/>
    <w:basedOn w:val="Strong"/>
    <w:uiPriority w:val="20"/>
    <w:qFormat/>
    <w:rsid w:val="00C66C0A"/>
    <w:rPr>
      <w:rFonts w:ascii="Arial" w:hAnsi="Arial"/>
      <w:b/>
      <w:bCs/>
      <w:color w:val="auto"/>
      <w:sz w:val="18"/>
    </w:rPr>
  </w:style>
  <w:style w:type="character" w:styleId="Strong">
    <w:name w:val="Strong"/>
    <w:basedOn w:val="DefaultParagraphFont"/>
    <w:uiPriority w:val="22"/>
    <w:rsid w:val="00C66C0A"/>
    <w:rPr>
      <w:b/>
      <w:bCs/>
    </w:rPr>
  </w:style>
  <w:style w:type="paragraph" w:customStyle="1" w:styleId="photocaption">
    <w:name w:val="photocaption"/>
    <w:basedOn w:val="Normal"/>
    <w:rsid w:val="00C66C0A"/>
    <w:pPr>
      <w:jc w:val="center"/>
      <w:textAlignment w:val="center"/>
    </w:pPr>
    <w:rPr>
      <w:b/>
      <w:bCs/>
      <w:sz w:val="18"/>
      <w:szCs w:val="18"/>
    </w:rPr>
  </w:style>
  <w:style w:type="character" w:customStyle="1" w:styleId="photocaption1">
    <w:name w:val="photocaption1"/>
    <w:basedOn w:val="DefaultParagraphFont"/>
    <w:rsid w:val="00C66C0A"/>
    <w:rPr>
      <w:rFonts w:ascii="Arial" w:hAnsi="Arial" w:cs="Arial" w:hint="default"/>
      <w:b/>
      <w:bCs/>
      <w:sz w:val="18"/>
      <w:szCs w:val="18"/>
    </w:rPr>
  </w:style>
  <w:style w:type="character" w:customStyle="1" w:styleId="videolink1">
    <w:name w:val="videolink1"/>
    <w:basedOn w:val="DefaultParagraphFont"/>
    <w:qFormat/>
    <w:rsid w:val="00C66C0A"/>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C66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C0A"/>
    <w:rPr>
      <w:rFonts w:ascii="Tahoma" w:eastAsia="Cambria" w:hAnsi="Tahoma" w:cs="Tahoma"/>
      <w:sz w:val="16"/>
      <w:szCs w:val="16"/>
    </w:rPr>
  </w:style>
  <w:style w:type="character" w:customStyle="1" w:styleId="bulletlist1">
    <w:name w:val="bulletlist1"/>
    <w:basedOn w:val="DefaultParagraphFont"/>
    <w:rsid w:val="00C66C0A"/>
    <w:rPr>
      <w:rFonts w:ascii="Arial" w:hAnsi="Arial" w:cs="Arial" w:hint="default"/>
      <w:sz w:val="20"/>
      <w:szCs w:val="20"/>
    </w:rPr>
  </w:style>
  <w:style w:type="character" w:customStyle="1" w:styleId="numberedlist1">
    <w:name w:val="numbered_list1"/>
    <w:basedOn w:val="DefaultParagraphFont"/>
    <w:rsid w:val="00C66C0A"/>
    <w:rPr>
      <w:rFonts w:ascii="Arial" w:hAnsi="Arial" w:cs="Arial" w:hint="default"/>
      <w:b w:val="0"/>
      <w:sz w:val="20"/>
      <w:szCs w:val="20"/>
    </w:rPr>
  </w:style>
  <w:style w:type="paragraph" w:styleId="TOC1">
    <w:name w:val="toc 1"/>
    <w:basedOn w:val="Normal"/>
    <w:next w:val="Normal"/>
    <w:autoRedefine/>
    <w:uiPriority w:val="39"/>
    <w:qFormat/>
    <w:rsid w:val="00C66C0A"/>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C66C0A"/>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C66C0A"/>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C66C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C0A"/>
    <w:rPr>
      <w:rFonts w:ascii="Arial" w:eastAsia="Cambria" w:hAnsi="Arial" w:cs="Times New Roman"/>
      <w:sz w:val="20"/>
      <w:szCs w:val="24"/>
    </w:rPr>
  </w:style>
  <w:style w:type="paragraph" w:styleId="Footer">
    <w:name w:val="footer"/>
    <w:basedOn w:val="Normal"/>
    <w:link w:val="FooterChar"/>
    <w:uiPriority w:val="99"/>
    <w:unhideWhenUsed/>
    <w:rsid w:val="00C66C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C0A"/>
    <w:rPr>
      <w:rFonts w:ascii="Arial" w:eastAsia="Cambria" w:hAnsi="Arial" w:cs="Times New Roman"/>
      <w:sz w:val="20"/>
      <w:szCs w:val="24"/>
    </w:rPr>
  </w:style>
  <w:style w:type="character" w:styleId="FollowedHyperlink">
    <w:name w:val="FollowedHyperlink"/>
    <w:basedOn w:val="DefaultParagraphFont"/>
    <w:uiPriority w:val="99"/>
    <w:semiHidden/>
    <w:unhideWhenUsed/>
    <w:rsid w:val="00C66C0A"/>
    <w:rPr>
      <w:color w:val="800080" w:themeColor="followedHyperlink"/>
      <w:u w:val="single"/>
    </w:rPr>
  </w:style>
  <w:style w:type="character" w:customStyle="1" w:styleId="Heading2Char">
    <w:name w:val="Heading 2 Char"/>
    <w:basedOn w:val="DefaultParagraphFont"/>
    <w:link w:val="Heading2"/>
    <w:uiPriority w:val="9"/>
    <w:rsid w:val="00C66C0A"/>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C66C0A"/>
    <w:rPr>
      <w:rFonts w:ascii="Arial" w:eastAsia="Cambria" w:hAnsi="Arial" w:cs="Times New Roman"/>
      <w:b/>
    </w:rPr>
  </w:style>
  <w:style w:type="character" w:customStyle="1" w:styleId="Heading4Char">
    <w:name w:val="Heading 4 Char"/>
    <w:basedOn w:val="DefaultParagraphFont"/>
    <w:link w:val="Heading4"/>
    <w:uiPriority w:val="9"/>
    <w:rsid w:val="00C66C0A"/>
    <w:rPr>
      <w:rFonts w:ascii="Arial" w:eastAsia="Cambria" w:hAnsi="Arial" w:cs="Times New Roman"/>
      <w:b/>
      <w:i/>
      <w:sz w:val="20"/>
      <w:szCs w:val="24"/>
    </w:rPr>
  </w:style>
  <w:style w:type="paragraph" w:styleId="Title">
    <w:name w:val="Title"/>
    <w:basedOn w:val="Normal"/>
    <w:next w:val="Normal"/>
    <w:link w:val="TitleChar"/>
    <w:uiPriority w:val="10"/>
    <w:qFormat/>
    <w:rsid w:val="00C66C0A"/>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C66C0A"/>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C66C0A"/>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C66C0A"/>
  </w:style>
  <w:style w:type="paragraph" w:customStyle="1" w:styleId="DiseaseTitle">
    <w:name w:val="Disease Title"/>
    <w:next w:val="Heading1"/>
    <w:qFormat/>
    <w:rsid w:val="00C66C0A"/>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7072">
      <w:bodyDiv w:val="1"/>
      <w:marLeft w:val="0"/>
      <w:marRight w:val="0"/>
      <w:marTop w:val="0"/>
      <w:marBottom w:val="0"/>
      <w:divBdr>
        <w:top w:val="none" w:sz="0" w:space="0" w:color="auto"/>
        <w:left w:val="none" w:sz="0" w:space="0" w:color="auto"/>
        <w:bottom w:val="none" w:sz="0" w:space="0" w:color="auto"/>
        <w:right w:val="none" w:sz="0" w:space="0" w:color="auto"/>
      </w:divBdr>
    </w:div>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4C1C3-E3A7-4631-BAE2-F5D3A9266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3</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2013-07-11T09:34:00Z</dcterms:created>
  <dcterms:modified xsi:type="dcterms:W3CDTF">2013-07-11T09:34:00Z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